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jpeg" ContentType="image/jpeg"/>
  <Default Extension="png" ContentType="image/png"/>
  <Default Extension="tiff" ContentType="image/tiff"/>
  <Default Extension="gif" ContentType="image/gif"/>
  <Default Extension="bin" ContentType="application/vnd.openxmlformats-officedocument.oleObject"/>
  <Default Extension="wmf" ContentType="image/x-wmf"/>
  <Default Extension="emf" ContentType="image/x-emf"/>
  <Override PartName="/word/stylesWithEffects.xml" ContentType="application/vnd.ms-word.stylesWithEffects+xml"/>
  <Override PartName="/docProps/app.xml" ContentType="application/vnd.openxmlformats-officedocument.extended-properties+xml"/>
  <Override PartName="/word/theme/theme1.xml" ContentType="application/vnd.openxmlformats-officedocument.theme+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a="http://schemas.openxmlformats.org/drawingml/2006/main" xmlns:c="http://schemas.openxmlformats.org/drawingml/2006/chart" xmlns:dgm="http://schemas.openxmlformats.org/drawingml/2006/diagram" xmlns:lc="http://schemas.openxmlformats.org/drawingml/2006/lockedCanvas" xmlns:m="http://schemas.openxmlformats.org/officeDocument/2006/math" xmlns:mc="http://schemas.openxmlformats.org/markup-compatibility/2006" xmlns:mo="http://schemas.microsoft.com/office/mac/office/2008/main" xmlns:mv="urn:schemas-microsoft-com:mac:vml" xmlns:o="urn:schemas-microsoft-com:office:office" xmlns:pic="http://schemas.openxmlformats.org/drawingml/2006/picture" xmlns:r="http://schemas.openxmlformats.org/officeDocument/2006/relationships" xmlns:v="urn:schemas-microsoft-com:vml" xmlns:w="http://schemas.openxmlformats.org/wordprocessingml/2006/main"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body>
    <w:p>
      <w:pPr>
        <w:shd w:fill="FFFFFF"/>
        <w:pStyle w:val=""/>
        <w:jc w:val="center"/>
        <w:spacing w:before="0" w:after="0" w:line="315" w:lineRule="atLeast"/>
        <w:rPr>
          <w:b/>
          <w:color w:val="000000"/>
          <w:rFonts w:ascii="华文中宋" w:hAnsi="华文中宋"/>
          <w:sz w:val="52"/>
          <w:szCs w:val="52"/>
          <w:shd w:fill="FFFFFF"/>
        </w:rPr>
      </w:pPr>
    </w:p>
    <w:p>
      <w:pPr>
        <w:shd w:fill="FFFFFF"/>
        <w:pStyle w:val=""/>
        <w:jc w:val="center"/>
        <w:spacing w:before="0" w:after="0" w:line="315" w:lineRule="atLeast"/>
        <w:rPr>
          <w:b/>
          <w:color w:val="000000"/>
          <w:rFonts w:ascii="华文中宋" w:hAnsi="华文中宋"/>
          <w:sz w:val="52"/>
          <w:szCs w:val="52"/>
          <w:shd w:fill="FFFFFF"/>
        </w:rPr>
      </w:pPr>
    </w:p>
    <w:p>
      <w:pPr>
        <w:shd w:fill="FFFFFF"/>
        <w:pStyle w:val=""/>
        <w:jc w:val="center"/>
        <w:spacing w:before="0" w:after="0" w:line="315" w:lineRule="atLeast"/>
        <w:rPr>
          <w:b/>
          <w:color w:val="000000"/>
          <w:rFonts w:ascii="华文中宋" w:hAnsi="华文中宋"/>
          <w:sz w:val="52"/>
          <w:szCs w:val="52"/>
          <w:shd w:fill="FFFFFF"/>
        </w:rPr>
      </w:pPr>
      <w:r>
        <w:rPr>
          <w:b/>
          <w:color w:val="000000"/>
          <w:rFonts w:ascii="华文中宋" w:hAnsi="华文中宋"/>
          <w:sz w:val="52"/>
          <w:szCs w:val="52"/>
          <w:shd w:fill="FFFFFF"/>
        </w:rPr>
        <w:t>烈山区财政局</w:t>
      </w:r>
      <w:r>
        <w:rPr>
          <w:b/>
          <w:color w:val="000000"/>
          <w:rFonts w:ascii="华文中宋" w:hAnsi="华文中宋"/>
          <w:sz w:val="52"/>
          <w:szCs w:val="52"/>
          <w:shd w:fill="FFFFFF"/>
        </w:rPr>
        <w:t>(本级）</w:t>
      </w:r>
      <w:r>
        <w:rPr>
          <w:b/>
          <w:color w:val="000000"/>
          <w:rFonts w:ascii="华文中宋" w:hAnsi="华文中宋"/>
          <w:sz w:val="52"/>
          <w:szCs w:val="52"/>
          <w:shd w:fill="FFFFFF"/>
        </w:rPr>
        <w:t>2023</w:t>
      </w:r>
      <w:r>
        <w:rPr>
          <w:b/>
          <w:color w:val="000000"/>
          <w:rFonts w:ascii="华文中宋" w:hAnsi="华文中宋"/>
          <w:sz w:val="52"/>
          <w:szCs w:val="52"/>
          <w:shd w:fill="FFFFFF"/>
        </w:rPr>
        <w:t>年部门</w:t>
      </w:r>
    </w:p>
    <w:p>
      <w:pPr>
        <w:shd w:fill="FFFFFF"/>
        <w:pStyle w:val=""/>
        <w:jc w:val="center"/>
        <w:spacing w:before="0" w:after="0" w:line="315" w:lineRule="atLeast"/>
        <w:rPr>
          <w:color w:val="000000"/>
          <w:rFonts w:ascii="Times New Roman" w:hAnsi="Times New Roman"/>
          <w:sz w:val="21"/>
          <w:szCs w:val="21"/>
        </w:rPr>
      </w:pPr>
      <w:r>
        <w:rPr>
          <w:b/>
          <w:color w:val="000000"/>
          <w:rFonts w:ascii="华文中宋" w:hAnsi="华文中宋"/>
          <w:sz w:val="52"/>
          <w:szCs w:val="52"/>
          <w:shd w:fill="FFFFFF"/>
        </w:rPr>
        <w:t>预算</w:t>
      </w:r>
    </w:p>
    <w:p>
      <w:pPr>
        <w:shd w:fill="FFFFFF"/>
        <w:pStyle w:val=""/>
        <w:jc w:val="center"/>
        <w:spacing w:before="0" w:after="0" w:line="360" w:lineRule="atLeast"/>
        <w:rPr>
          <w:color w:val="000000"/>
          <w:rFonts w:ascii="宋体" w:hAnsi="宋体"/>
        </w:rPr>
      </w:pPr>
      <w:r>
        <w:rPr>
          <w:color w:val="000000"/>
          <w:rFonts w:ascii="宋体" w:hAnsi="宋体"/>
          <w:shd w:fill="FFFFFF"/>
        </w:rPr>
        <w:t> </w:t>
      </w:r>
    </w:p>
    <w:p>
      <w:pPr>
        <w:shd w:fill="FFFFFF"/>
        <w:pStyle w:val=""/>
        <w:jc w:val="center"/>
        <w:spacing w:before="0" w:after="0" w:line="360" w:lineRule="atLeast"/>
        <w:rPr>
          <w:color w:val="000000"/>
          <w:rFonts w:ascii="宋体" w:hAnsi="宋体"/>
        </w:rPr>
      </w:pPr>
      <w:r>
        <w:rPr>
          <w:color w:val="000000"/>
          <w:rFonts w:ascii="宋体" w:hAnsi="宋体"/>
          <w:shd w:fill="FFFFFF"/>
        </w:rPr>
        <w:t> </w:t>
      </w:r>
    </w:p>
    <w:p>
      <w:pPr>
        <w:shd w:fill="FFFFFF"/>
        <w:pStyle w:val=""/>
        <w:jc w:val="center"/>
        <w:spacing w:before="0" w:after="0" w:line="360" w:lineRule="atLeast"/>
        <w:rPr>
          <w:color w:val="000000"/>
          <w:rFonts w:ascii="宋体" w:hAnsi="宋体"/>
        </w:rPr>
      </w:pPr>
      <w:r>
        <w:rPr>
          <w:color w:val="000000"/>
          <w:rFonts w:ascii="宋体" w:hAnsi="宋体"/>
          <w:shd w:fill="FFFFFF"/>
        </w:rPr>
        <w:t> </w:t>
      </w:r>
    </w:p>
    <w:p>
      <w:pPr>
        <w:shd w:fill="FFFFFF"/>
        <w:pStyle w:val=""/>
        <w:jc w:val="center"/>
        <w:spacing w:before="0" w:after="0" w:line="360" w:lineRule="atLeast"/>
        <w:rPr>
          <w:color w:val="000000"/>
          <w:rFonts w:ascii="宋体" w:hAnsi="宋体"/>
        </w:rPr>
      </w:pPr>
      <w:r>
        <w:rPr>
          <w:color w:val="000000"/>
          <w:rFonts w:ascii="宋体" w:hAnsi="宋体"/>
          <w:shd w:fill="FFFFFF"/>
        </w:rPr>
        <w:t> </w:t>
      </w:r>
    </w:p>
    <w:p>
      <w:pPr>
        <w:shd w:fill="FFFFFF"/>
        <w:pStyle w:val=""/>
        <w:jc w:val="center"/>
        <w:spacing w:before="0" w:after="0" w:line="360" w:lineRule="atLeast"/>
        <w:rPr>
          <w:color w:val="000000"/>
          <w:rFonts w:ascii="宋体" w:hAnsi="宋体"/>
        </w:rPr>
      </w:pPr>
      <w:r>
        <w:rPr>
          <w:color w:val="000000"/>
          <w:rFonts w:ascii="宋体" w:hAnsi="宋体"/>
          <w:shd w:fill="FFFFFF"/>
        </w:rPr>
        <w:t> </w:t>
      </w:r>
    </w:p>
    <w:p>
      <w:pPr>
        <w:shd w:fill="FFFFFF"/>
        <w:pStyle w:val=""/>
        <w:jc w:val="center"/>
        <w:spacing w:before="0" w:after="0" w:line="360" w:lineRule="atLeast"/>
        <w:rPr>
          <w:color w:val="000000"/>
          <w:rFonts w:ascii="宋体" w:hAnsi="宋体"/>
        </w:rPr>
      </w:pPr>
      <w:r>
        <w:rPr>
          <w:color w:val="000000"/>
          <w:rFonts w:ascii="宋体" w:hAnsi="宋体"/>
          <w:shd w:fill="FFFFFF"/>
        </w:rPr>
        <w:t> </w:t>
      </w:r>
    </w:p>
    <w:p>
      <w:pPr>
        <w:shd w:fill="FFFFFF"/>
        <w:pStyle w:val=""/>
        <w:jc w:val="center"/>
        <w:spacing w:before="0" w:after="0" w:line="360" w:lineRule="atLeast"/>
        <w:rPr>
          <w:color w:val="000000"/>
          <w:rFonts w:ascii="宋体" w:hAnsi="宋体"/>
        </w:rPr>
      </w:pPr>
      <w:r>
        <w:rPr>
          <w:color w:val="000000"/>
          <w:rFonts w:ascii="宋体" w:hAnsi="宋体"/>
          <w:shd w:fill="FFFFFF"/>
        </w:rPr>
        <w:t> </w:t>
      </w:r>
    </w:p>
    <w:p>
      <w:pPr>
        <w:shd w:fill="FFFFFF"/>
        <w:pStyle w:val=""/>
        <w:jc w:val="center"/>
        <w:spacing w:before="0" w:after="0" w:line="360" w:lineRule="atLeast"/>
        <w:rPr>
          <w:color w:val="000000"/>
          <w:rFonts w:ascii="宋体" w:hAnsi="宋体"/>
          <w:shd w:fill="FFFFFF"/>
        </w:rPr>
      </w:pPr>
    </w:p>
    <w:p>
      <w:pPr>
        <w:shd w:fill="FFFFFF"/>
        <w:pStyle w:val=""/>
        <w:jc w:val="center"/>
        <w:spacing w:before="0" w:after="0" w:line="360" w:lineRule="atLeast"/>
        <w:rPr>
          <w:color w:val="000000"/>
          <w:rFonts w:ascii="宋体" w:hAnsi="宋体"/>
          <w:shd w:fill="FFFFFF"/>
        </w:rPr>
      </w:pPr>
    </w:p>
    <w:p>
      <w:pPr>
        <w:shd w:fill="FFFFFF"/>
        <w:pStyle w:val=""/>
        <w:jc w:val="center"/>
        <w:spacing w:before="0" w:after="0" w:line="360" w:lineRule="atLeast"/>
        <w:rPr>
          <w:color w:val="000000"/>
          <w:rFonts w:ascii="宋体" w:hAnsi="宋体"/>
          <w:shd w:fill="FFFFFF"/>
        </w:rPr>
      </w:pPr>
    </w:p>
    <w:p>
      <w:pPr>
        <w:shd w:fill="FFFFFF"/>
        <w:pStyle w:val=""/>
        <w:jc w:val="center"/>
        <w:spacing w:before="0" w:after="0" w:line="360" w:lineRule="atLeast"/>
        <w:rPr>
          <w:color w:val="000000"/>
          <w:rFonts w:ascii="宋体" w:hAnsi="宋体"/>
          <w:shd w:fill="FFFFFF"/>
        </w:rPr>
      </w:pPr>
    </w:p>
    <w:p>
      <w:pPr>
        <w:shd w:fill="FFFFFF"/>
        <w:pStyle w:val=""/>
        <w:jc w:val="center"/>
        <w:spacing w:before="0" w:after="0" w:line="360" w:lineRule="atLeast"/>
        <w:rPr>
          <w:color w:val="000000"/>
          <w:rFonts w:ascii="宋体" w:hAnsi="宋体"/>
          <w:shd w:fill="FFFFFF"/>
        </w:rPr>
      </w:pPr>
    </w:p>
    <w:p>
      <w:pPr>
        <w:shd w:fill="FFFFFF"/>
        <w:pStyle w:val=""/>
        <w:jc w:val="center"/>
        <w:spacing w:before="0" w:after="0" w:line="360" w:lineRule="atLeast"/>
        <w:rPr>
          <w:color w:val="000000"/>
          <w:rFonts w:ascii="宋体" w:hAnsi="宋体"/>
          <w:shd w:fill="FFFFFF"/>
        </w:rPr>
      </w:pPr>
    </w:p>
    <w:p>
      <w:pPr>
        <w:shd w:fill="FFFFFF"/>
        <w:pStyle w:val=""/>
        <w:jc w:val="center"/>
        <w:spacing w:before="0" w:after="0" w:line="360" w:lineRule="atLeast"/>
        <w:rPr>
          <w:color w:val="000000"/>
          <w:rFonts w:ascii="宋体" w:hAnsi="宋体"/>
          <w:shd w:fill="FFFFFF"/>
        </w:rPr>
      </w:pPr>
    </w:p>
    <w:p>
      <w:pPr>
        <w:shd w:fill="FFFFFF"/>
        <w:pStyle w:val=""/>
        <w:jc w:val="center"/>
        <w:spacing w:before="0" w:after="0" w:line="360" w:lineRule="atLeast"/>
        <w:rPr>
          <w:color w:val="000000"/>
          <w:rFonts w:ascii="宋体" w:hAnsi="宋体"/>
          <w:shd w:fill="FFFFFF"/>
        </w:rPr>
      </w:pPr>
    </w:p>
    <w:p>
      <w:pPr>
        <w:shd w:fill="FFFFFF"/>
        <w:pStyle w:val=""/>
        <w:jc w:val="center"/>
        <w:spacing w:before="0" w:after="0" w:line="360" w:lineRule="atLeast"/>
        <w:rPr>
          <w:color w:val="000000"/>
          <w:rFonts w:ascii="宋体" w:hAnsi="宋体"/>
          <w:shd w:fill="FFFFFF"/>
        </w:rPr>
      </w:pPr>
    </w:p>
    <w:p>
      <w:pPr>
        <w:shd w:fill="FFFFFF"/>
        <w:pStyle w:val=""/>
        <w:jc w:val="center"/>
        <w:spacing w:before="0" w:after="0" w:line="360" w:lineRule="atLeast"/>
        <w:rPr>
          <w:color w:val="000000"/>
          <w:rFonts w:ascii="宋体" w:hAnsi="宋体"/>
          <w:shd w:fill="FFFFFF"/>
        </w:rPr>
      </w:pPr>
    </w:p>
    <w:p>
      <w:pPr>
        <w:shd w:fill="FFFFFF"/>
        <w:pStyle w:val=""/>
        <w:jc w:val="center"/>
        <w:spacing w:before="0" w:after="0" w:line="360" w:lineRule="atLeast"/>
        <w:rPr>
          <w:color w:val="000000"/>
          <w:rFonts w:ascii="宋体" w:hAnsi="宋体"/>
          <w:shd w:fill="FFFFFF"/>
        </w:rPr>
      </w:pPr>
    </w:p>
    <w:p>
      <w:pPr>
        <w:shd w:fill="FFFFFF"/>
        <w:pStyle w:val=""/>
        <w:jc w:val="center"/>
        <w:spacing w:before="0" w:after="0" w:line="360" w:lineRule="atLeast"/>
        <w:rPr>
          <w:color w:val="000000"/>
          <w:rFonts w:ascii="宋体" w:hAnsi="宋体"/>
          <w:shd w:fill="FFFFFF"/>
        </w:rPr>
      </w:pPr>
    </w:p>
    <w:p>
      <w:pPr>
        <w:shd w:fill="FFFFFF"/>
        <w:pStyle w:val=""/>
        <w:jc w:val="center"/>
        <w:spacing w:before="0" w:after="0" w:line="360" w:lineRule="atLeast"/>
        <w:rPr>
          <w:color w:val="000000"/>
          <w:rFonts w:ascii="宋体" w:hAnsi="宋体"/>
          <w:shd w:fill="FFFFFF"/>
        </w:rPr>
      </w:pPr>
    </w:p>
    <w:p>
      <w:pPr>
        <w:shd w:fill="FFFFFF"/>
        <w:pStyle w:val=""/>
        <w:jc w:val="center"/>
        <w:spacing w:before="0" w:after="0" w:line="360" w:lineRule="atLeast"/>
        <w:rPr>
          <w:color w:val="000000"/>
          <w:rFonts w:ascii="宋体" w:hAnsi="宋体"/>
          <w:shd w:fill="FFFFFF"/>
        </w:rPr>
      </w:pPr>
    </w:p>
    <w:p>
      <w:pPr>
        <w:shd w:fill="FFFFFF"/>
        <w:pStyle w:val=""/>
        <w:jc w:val="center"/>
        <w:spacing w:before="0" w:after="0" w:line="360" w:lineRule="atLeast"/>
        <w:rPr>
          <w:color w:val="000000"/>
          <w:rFonts w:ascii="宋体" w:hAnsi="宋体"/>
          <w:shd w:fill="FFFFFF"/>
        </w:rPr>
      </w:pPr>
    </w:p>
    <w:p>
      <w:pPr>
        <w:shd w:fill="FFFFFF"/>
        <w:pStyle w:val=""/>
        <w:jc w:val="both"/>
        <w:spacing w:before="0" w:after="0" w:line="360" w:lineRule="atLeast"/>
        <w:rPr>
          <w:color w:val="000000"/>
          <w:rFonts w:ascii="宋体" w:hAnsi="宋体"/>
        </w:rPr>
      </w:pPr>
      <w:r>
        <w:rPr>
          <w:color w:val="000000"/>
          <w:rFonts w:ascii="宋体" w:hAnsi="宋体"/>
          <w:shd w:fill="FFFFFF"/>
        </w:rPr>
        <w:t> </w:t>
      </w:r>
    </w:p>
    <w:p>
      <w:pPr>
        <w:shd w:fill="FFFFFF"/>
        <w:pStyle w:val=""/>
        <w:jc w:val="center"/>
        <w:spacing w:before="0" w:after="0" w:line="360" w:lineRule="atLeast"/>
        <w:rPr>
          <w:color w:val="000000"/>
          <w:rFonts w:ascii="宋体" w:hAnsi="宋体"/>
        </w:rPr>
      </w:pPr>
      <w:r>
        <w:rPr>
          <w:color w:val="000000"/>
          <w:rFonts w:ascii="宋体" w:hAnsi="宋体"/>
          <w:shd w:fill="FFFFFF"/>
        </w:rPr>
        <w:t> </w:t>
      </w:r>
    </w:p>
    <w:p>
      <w:pPr>
        <w:shd w:fill="FFFFFF"/>
        <w:pStyle w:val=""/>
        <w:jc w:val="center"/>
        <w:spacing w:before="0" w:after="0" w:line="360" w:lineRule="atLeast"/>
        <w:rPr>
          <w:color w:val="000000"/>
          <w:rFonts w:ascii="宋体" w:hAnsi="宋体"/>
        </w:rPr>
      </w:pPr>
      <w:r>
        <w:rPr>
          <w:color w:val="000000"/>
          <w:rFonts w:ascii="宋体" w:hAnsi="宋体"/>
          <w:shd w:fill="FFFFFF"/>
        </w:rPr>
        <w:t> </w:t>
      </w:r>
    </w:p>
    <w:p>
      <w:pPr>
        <w:shd w:fill="FFFFFF"/>
        <w:pStyle w:val=""/>
        <w:jc w:val="center"/>
        <w:spacing w:before="0" w:after="0" w:line="360" w:lineRule="atLeast"/>
        <w:rPr>
          <w:color w:val="000000"/>
          <w:rFonts w:ascii="宋体" w:hAnsi="宋体"/>
        </w:rPr>
      </w:pPr>
      <w:r>
        <w:rPr>
          <w:color w:val="000000"/>
          <w:rFonts w:ascii="宋体" w:hAnsi="宋体"/>
          <w:shd w:fill="FFFFFF"/>
        </w:rPr>
        <w:t> </w:t>
      </w:r>
    </w:p>
    <w:p>
      <w:pPr>
        <w:shd w:fill="FFFFFF"/>
        <w:pStyle w:val=""/>
        <w:jc w:val="center"/>
        <w:spacing w:before="0" w:after="0" w:line="360" w:lineRule="atLeast"/>
        <w:rPr>
          <w:color w:val="000000"/>
          <w:rFonts w:ascii="宋体" w:hAnsi="宋体"/>
        </w:rPr>
      </w:pPr>
      <w:r>
        <w:rPr>
          <w:color w:val="000000"/>
          <w:rFonts w:ascii="黑体" w:hAnsi="宋体"/>
          <w:sz w:val="44"/>
          <w:szCs w:val="44"/>
          <w:shd w:fill="FFFFFF"/>
        </w:rPr>
        <w:t>2023</w:t>
      </w:r>
      <w:r>
        <w:rPr>
          <w:color w:val="000000"/>
          <w:rFonts w:ascii="黑体" w:hAnsi="宋体"/>
          <w:sz w:val="44"/>
          <w:szCs w:val="44"/>
          <w:shd w:fill="FFFFFF"/>
        </w:rPr>
        <w:t>年</w:t>
      </w:r>
      <w:r>
        <w:rPr>
          <w:color w:val="000000"/>
          <w:rFonts w:ascii="黑体" w:hAnsi="宋体"/>
          <w:sz w:val="44"/>
          <w:szCs w:val="44"/>
          <w:shd w:fill="FFFFFF"/>
        </w:rPr>
        <w:t>2</w:t>
      </w:r>
      <w:r>
        <w:rPr>
          <w:color w:val="000000"/>
          <w:rFonts w:ascii="黑体" w:hAnsi="宋体"/>
          <w:sz w:val="44"/>
          <w:szCs w:val="44"/>
          <w:shd w:fill="FFFFFF"/>
        </w:rPr>
        <w:t>月</w:t>
      </w:r>
    </w:p>
    <w:p>
      <w:pPr>
        <w:shd w:fill="FFFFFF"/>
        <w:pStyle w:val=""/>
        <w:jc w:val="center"/>
        <w:spacing w:before="0" w:after="0" w:line="360" w:lineRule="atLeast"/>
        <w:rPr>
          <w:color w:val="000000"/>
          <w:rFonts w:ascii="宋体" w:hAnsi="宋体"/>
        </w:rPr>
      </w:pPr>
      <w:r>
        <w:rPr>
          <w:color w:val="000000"/>
          <w:rFonts w:ascii="宋体" w:hAnsi="宋体"/>
          <w:shd w:fill="FFFFFF"/>
        </w:rPr>
        <w:t> </w:t>
      </w:r>
    </w:p>
    <w:p>
      <w:pPr>
        <w:shd w:fill="FFFFFF"/>
        <w:pStyle w:val=""/>
        <w:jc w:val="center"/>
        <w:spacing w:before="0" w:after="0" w:line="500" w:lineRule="atLeast"/>
        <w:rPr>
          <w:color w:val="000000"/>
          <w:rFonts w:ascii="宋体" w:hAnsi="宋体"/>
        </w:rPr>
      </w:pPr>
      <w:r>
        <w:rPr>
          <w:color w:val="000000"/>
          <w:rFonts w:ascii="宋体" w:hAnsi="宋体"/>
          <w:shd w:fill="FFFFFF"/>
        </w:rPr>
        <w:t> </w:t>
      </w:r>
    </w:p>
    <w:p>
      <w:pPr>
        <w:shd w:fill="FFFFFF"/>
        <w:pStyle w:val=""/>
        <w:jc w:val="both"/>
        <w:spacing w:before="0" w:after="0" w:line="500" w:lineRule="atLeast"/>
        <w:rPr>
          <w:color w:val="000000"/>
          <w:rFonts w:ascii="黑体" w:hAnsi="宋体"/>
          <w:sz w:val="44"/>
          <w:szCs w:val="44"/>
          <w:shd w:fill="FFFFFF"/>
        </w:rPr>
      </w:pPr>
    </w:p>
    <w:p>
      <w:pPr>
        <w:shd w:fill="FFFFFF"/>
        <w:pStyle w:val=""/>
        <w:jc w:val="center"/>
        <w:spacing w:before="0" w:after="0" w:line="500" w:lineRule="atLeast"/>
        <w:rPr>
          <w:color w:val="000000"/>
          <w:rFonts w:ascii="宋体" w:hAnsi="宋体"/>
        </w:rPr>
      </w:pPr>
      <w:r>
        <w:rPr>
          <w:color w:val="000000"/>
          <w:rFonts w:ascii="黑体" w:hAnsi="宋体"/>
          <w:sz w:val="44"/>
          <w:szCs w:val="44"/>
          <w:shd w:fill="FFFFFF"/>
        </w:rPr>
        <w:t>目 录</w:t>
      </w:r>
    </w:p>
    <w:p>
      <w:pPr>
        <w:shd w:fill="FFFFFF"/>
        <w:pStyle w:val=""/>
        <w:jc w:val="both"/>
        <w:ind w:firstLine="640"/>
        <w:spacing w:before="0" w:after="0" w:line="500" w:lineRule="atLeast"/>
        <w:rPr>
          <w:color w:val="000000"/>
          <w:rFonts w:ascii="宋体" w:hAnsi="宋体"/>
        </w:rPr>
      </w:pPr>
      <w:r>
        <w:rPr>
          <w:color w:val="000000"/>
          <w:rFonts w:ascii="宋体" w:hAnsi="宋体"/>
          <w:shd w:fill="FFFFFF"/>
        </w:rPr>
        <w:t> </w:t>
      </w:r>
    </w:p>
    <w:p>
      <w:pPr>
        <w:shd w:fill="FFFFFF"/>
        <w:pStyle w:val=""/>
        <w:jc w:val="both"/>
        <w:ind w:firstLine="640"/>
        <w:spacing w:before="0" w:after="0" w:line="600" w:lineRule="exact"/>
        <w:rPr>
          <w:color w:val="000000"/>
          <w:rFonts w:ascii="仿宋_GB2312" w:hAnsi="仿宋_GB2312"/>
          <w:sz w:val="32"/>
          <w:szCs w:val="32"/>
        </w:rPr>
      </w:pPr>
      <w:r>
        <w:rPr>
          <w:b/>
          <w:color w:val="000000"/>
          <w:rFonts w:ascii="仿宋_GB2312" w:hAnsi="仿宋_GB2312"/>
          <w:sz w:val="32"/>
          <w:szCs w:val="32"/>
          <w:shd w:fill="FFFFFF"/>
        </w:rPr>
        <w:t>第一部分 部门概况</w:t>
      </w:r>
    </w:p>
    <w:p>
      <w:pPr>
        <w:shd w:fill="FFFFFF"/>
        <w:pStyle w:val=""/>
        <w:ind w:firstLine="640"/>
        <w:spacing w:before="0" w:after="0" w:line="600" w:lineRule="exact"/>
        <w:rPr>
          <w:color w:val="000000"/>
          <w:rFonts w:ascii="仿宋_GB2312" w:hAnsi="仿宋_GB2312"/>
          <w:sz w:val="32"/>
          <w:szCs w:val="32"/>
        </w:rPr>
      </w:pPr>
      <w:r>
        <w:rPr>
          <w:color w:val="000000"/>
          <w:rFonts w:ascii="仿宋_GB2312" w:hAnsi="仿宋_GB2312"/>
          <w:sz w:val="32"/>
          <w:szCs w:val="32"/>
          <w:shd w:fill="FFFFFF"/>
        </w:rPr>
        <w:t>1.主要职责</w:t>
      </w:r>
    </w:p>
    <w:p>
      <w:pPr>
        <w:shd w:fill="FFFFFF"/>
        <w:pStyle w:val=""/>
        <w:ind w:firstLine="640"/>
        <w:spacing w:before="0" w:after="0" w:line="600" w:lineRule="exact"/>
        <w:rPr>
          <w:color w:val="000000"/>
          <w:rFonts w:ascii="仿宋_GB2312" w:hAnsi="仿宋_GB2312"/>
          <w:sz w:val="32"/>
          <w:szCs w:val="32"/>
        </w:rPr>
      </w:pPr>
      <w:r>
        <w:rPr>
          <w:color w:val="000000"/>
          <w:rFonts w:ascii="仿宋_GB2312" w:hAnsi="仿宋_GB2312"/>
          <w:sz w:val="32"/>
          <w:szCs w:val="32"/>
          <w:shd w:fill="FFFFFF"/>
        </w:rPr>
        <w:t>2.部门预算构成</w:t>
      </w:r>
    </w:p>
    <w:p>
      <w:pPr>
        <w:shd w:fill="FFFFFF"/>
        <w:pStyle w:val=""/>
        <w:ind w:firstLine="640"/>
        <w:spacing w:before="0" w:after="0" w:line="600" w:lineRule="exact"/>
        <w:rPr>
          <w:color w:val="000000"/>
          <w:rFonts w:ascii="仿宋_GB2312" w:hAnsi="仿宋_GB2312"/>
          <w:sz w:val="32"/>
          <w:szCs w:val="32"/>
        </w:rPr>
      </w:pPr>
      <w:r>
        <w:rPr>
          <w:color w:val="000000"/>
          <w:rFonts w:ascii="仿宋_GB2312" w:hAnsi="仿宋_GB2312"/>
          <w:sz w:val="32"/>
          <w:szCs w:val="32"/>
          <w:shd w:fill="FFFFFF"/>
        </w:rPr>
        <w:t>3.</w:t>
      </w:r>
      <w:r>
        <w:rPr>
          <w:color w:val="000000"/>
          <w:rFonts w:ascii="仿宋_GB2312" w:hAnsi="仿宋_GB2312"/>
          <w:sz w:val="32"/>
          <w:szCs w:val="32"/>
          <w:shd w:fill="FFFFFF"/>
        </w:rPr>
        <w:t>2023</w:t>
      </w:r>
      <w:r>
        <w:rPr>
          <w:color w:val="000000"/>
          <w:rFonts w:ascii="仿宋_GB2312" w:hAnsi="仿宋_GB2312"/>
          <w:sz w:val="32"/>
          <w:szCs w:val="32"/>
          <w:shd w:fill="FFFFFF"/>
        </w:rPr>
        <w:t>年度主要工作任务</w:t>
      </w:r>
    </w:p>
    <w:p>
      <w:pPr>
        <w:shd w:fill="FFFFFF"/>
        <w:pStyle w:val=""/>
        <w:ind w:firstLine="640"/>
        <w:spacing w:before="0" w:after="0" w:line="600" w:lineRule="exact"/>
        <w:rPr>
          <w:b/>
          <w:color w:val="000000"/>
          <w:rFonts w:ascii="仿宋_GB2312" w:hAnsi="仿宋_GB2312"/>
          <w:sz w:val="32"/>
          <w:szCs w:val="32"/>
          <w:shd w:fill="FFFFFF"/>
        </w:rPr>
      </w:pPr>
      <w:r>
        <w:rPr>
          <w:b/>
          <w:color w:val="000000"/>
          <w:rFonts w:ascii="仿宋_GB2312" w:hAnsi="仿宋_GB2312"/>
          <w:sz w:val="32"/>
          <w:szCs w:val="32"/>
          <w:shd w:fill="FFFFFF"/>
        </w:rPr>
        <w:t>第二部分 </w:t>
      </w:r>
      <w:r>
        <w:rPr>
          <w:b/>
          <w:color w:val="000000"/>
          <w:rFonts w:ascii="仿宋_GB2312" w:hAnsi="仿宋_GB2312"/>
          <w:sz w:val="32"/>
          <w:szCs w:val="32"/>
          <w:shd w:fill="FFFFFF"/>
        </w:rPr>
        <w:t>2023</w:t>
      </w:r>
      <w:r>
        <w:rPr>
          <w:b/>
          <w:color w:val="000000"/>
          <w:rFonts w:ascii="仿宋_GB2312" w:hAnsi="仿宋_GB2312"/>
          <w:sz w:val="32"/>
          <w:szCs w:val="32"/>
          <w:shd w:fill="FFFFFF"/>
        </w:rPr>
        <w:t>年部门预算表</w:t>
      </w:r>
    </w:p>
    <w:p>
      <w:pPr>
        <w:shd w:fill="FFFFFF"/>
        <w:pStyle w:val=""/>
        <w:ind w:firstLine="640"/>
        <w:spacing w:before="0" w:after="0" w:line="600" w:lineRule="exact"/>
        <w:rPr>
          <w:color w:val="000000"/>
          <w:rFonts w:ascii="仿宋_GB2312" w:hAnsi="仿宋_GB2312"/>
          <w:sz w:val="32"/>
          <w:szCs w:val="32"/>
        </w:rPr>
      </w:pPr>
      <w:r>
        <w:rPr>
          <w:color w:val="000000"/>
          <w:rFonts w:ascii="仿宋_GB2312" w:hAnsi="仿宋_GB2312"/>
          <w:sz w:val="32"/>
          <w:szCs w:val="32"/>
          <w:shd w:fill="FFFFFF"/>
        </w:rPr>
        <w:t>1</w:t>
      </w:r>
      <w:r>
        <w:rPr>
          <w:color w:val="000000"/>
          <w:rFonts w:ascii="仿宋_GB2312" w:hAnsi="仿宋_GB2312"/>
          <w:sz w:val="32"/>
          <w:szCs w:val="32"/>
          <w:shd w:fill="FFFFFF"/>
        </w:rPr>
        <w:t>. 烈山区财政局</w:t>
      </w:r>
      <w:r>
        <w:rPr>
          <w:color w:val="000000"/>
          <w:rFonts w:ascii="仿宋_GB2312" w:hAnsi="仿宋_GB2312"/>
          <w:sz w:val="32"/>
          <w:szCs w:val="32"/>
          <w:shd w:fill="FFFFFF"/>
        </w:rPr>
        <w:t>2023</w:t>
      </w:r>
      <w:r>
        <w:rPr>
          <w:color w:val="000000"/>
          <w:rFonts w:ascii="仿宋_GB2312" w:hAnsi="仿宋_GB2312"/>
          <w:sz w:val="32"/>
          <w:szCs w:val="32"/>
          <w:shd w:fill="FFFFFF"/>
        </w:rPr>
        <w:t>年收支总表</w:t>
      </w:r>
    </w:p>
    <w:p>
      <w:pPr>
        <w:shd w:fill="FFFFFF"/>
        <w:pStyle w:val=""/>
        <w:ind w:firstLine="640"/>
        <w:spacing w:before="0" w:after="0" w:line="600" w:lineRule="exact"/>
        <w:rPr>
          <w:color w:val="000000"/>
          <w:rFonts w:ascii="仿宋_GB2312" w:hAnsi="仿宋_GB2312"/>
          <w:sz w:val="32"/>
          <w:szCs w:val="32"/>
        </w:rPr>
      </w:pPr>
      <w:r>
        <w:rPr>
          <w:color w:val="000000"/>
          <w:rFonts w:ascii="仿宋_GB2312" w:hAnsi="仿宋_GB2312"/>
          <w:sz w:val="32"/>
          <w:szCs w:val="32"/>
          <w:shd w:fill="FFFFFF"/>
        </w:rPr>
        <w:t>2</w:t>
      </w:r>
      <w:r>
        <w:rPr>
          <w:color w:val="000000"/>
          <w:rFonts w:ascii="仿宋_GB2312" w:hAnsi="仿宋_GB2312"/>
          <w:sz w:val="32"/>
          <w:szCs w:val="32"/>
          <w:shd w:fill="FFFFFF"/>
        </w:rPr>
        <w:t>. 烈山区财政局</w:t>
      </w:r>
      <w:r>
        <w:rPr>
          <w:color w:val="000000"/>
          <w:rFonts w:ascii="仿宋_GB2312" w:hAnsi="仿宋_GB2312"/>
          <w:sz w:val="32"/>
          <w:szCs w:val="32"/>
          <w:shd w:fill="FFFFFF"/>
        </w:rPr>
        <w:t>2023</w:t>
      </w:r>
      <w:r>
        <w:rPr>
          <w:color w:val="000000"/>
          <w:rFonts w:ascii="仿宋_GB2312" w:hAnsi="仿宋_GB2312"/>
          <w:sz w:val="32"/>
          <w:szCs w:val="32"/>
          <w:shd w:fill="FFFFFF"/>
        </w:rPr>
        <w:t>年收入总表</w:t>
      </w:r>
    </w:p>
    <w:p>
      <w:pPr>
        <w:shd w:fill="FFFFFF"/>
        <w:pStyle w:val=""/>
        <w:ind w:firstLine="640"/>
        <w:spacing w:before="0" w:after="0" w:line="600" w:lineRule="exact"/>
        <w:rPr>
          <w:b/>
          <w:color w:val="000000"/>
          <w:rFonts w:ascii="仿宋_GB2312" w:hAnsi="仿宋_GB2312"/>
          <w:sz w:val="32"/>
          <w:szCs w:val="32"/>
          <w:shd w:fill="FFFFFF"/>
        </w:rPr>
      </w:pPr>
      <w:r>
        <w:rPr>
          <w:color w:val="000000"/>
          <w:rFonts w:ascii="仿宋_GB2312" w:hAnsi="仿宋_GB2312"/>
          <w:sz w:val="32"/>
          <w:szCs w:val="32"/>
          <w:shd w:fill="FFFFFF"/>
        </w:rPr>
        <w:t>3</w:t>
      </w:r>
      <w:r>
        <w:rPr>
          <w:color w:val="000000"/>
          <w:rFonts w:ascii="仿宋_GB2312" w:hAnsi="仿宋_GB2312"/>
          <w:sz w:val="32"/>
          <w:szCs w:val="32"/>
          <w:shd w:fill="FFFFFF"/>
        </w:rPr>
        <w:t>. 烈山区财政局</w:t>
      </w:r>
      <w:r>
        <w:rPr>
          <w:color w:val="000000"/>
          <w:rFonts w:ascii="仿宋_GB2312" w:hAnsi="仿宋_GB2312"/>
          <w:sz w:val="32"/>
          <w:szCs w:val="32"/>
          <w:shd w:fill="FFFFFF"/>
        </w:rPr>
        <w:t>2023</w:t>
      </w:r>
      <w:r>
        <w:rPr>
          <w:color w:val="000000"/>
          <w:rFonts w:ascii="仿宋_GB2312" w:hAnsi="仿宋_GB2312"/>
          <w:sz w:val="32"/>
          <w:szCs w:val="32"/>
          <w:shd w:fill="FFFFFF"/>
        </w:rPr>
        <w:t>年支出总表</w:t>
      </w:r>
    </w:p>
    <w:p>
      <w:pPr>
        <w:shd w:fill="FFFFFF"/>
        <w:pStyle w:val=""/>
        <w:ind w:firstLine="640"/>
        <w:spacing w:before="0" w:after="0" w:line="600" w:lineRule="exact"/>
        <w:rPr>
          <w:color w:val="000000"/>
          <w:rFonts w:ascii="仿宋_GB2312" w:hAnsi="仿宋_GB2312"/>
          <w:sz w:val="32"/>
          <w:szCs w:val="32"/>
        </w:rPr>
      </w:pPr>
      <w:r>
        <w:rPr>
          <w:color w:val="000000"/>
          <w:rFonts w:ascii="仿宋_GB2312" w:hAnsi="仿宋_GB2312"/>
          <w:sz w:val="32"/>
          <w:szCs w:val="32"/>
          <w:shd w:fill="FFFFFF"/>
        </w:rPr>
        <w:t>4</w:t>
      </w:r>
      <w:r>
        <w:rPr>
          <w:color w:val="000000"/>
          <w:rFonts w:ascii="仿宋_GB2312" w:hAnsi="仿宋_GB2312"/>
          <w:sz w:val="32"/>
          <w:szCs w:val="32"/>
          <w:shd w:fill="FFFFFF"/>
        </w:rPr>
        <w:t>. 烈山区财政局</w:t>
      </w:r>
      <w:r>
        <w:rPr>
          <w:color w:val="000000"/>
          <w:rFonts w:ascii="仿宋_GB2312" w:hAnsi="仿宋_GB2312"/>
          <w:sz w:val="32"/>
          <w:szCs w:val="32"/>
          <w:shd w:fill="FFFFFF"/>
        </w:rPr>
        <w:t>2023</w:t>
      </w:r>
      <w:r>
        <w:rPr>
          <w:color w:val="000000"/>
          <w:rFonts w:ascii="仿宋_GB2312" w:hAnsi="仿宋_GB2312"/>
          <w:sz w:val="32"/>
          <w:szCs w:val="32"/>
          <w:shd w:fill="FFFFFF"/>
        </w:rPr>
        <w:t>年</w:t>
      </w:r>
      <w:r>
        <w:rPr>
          <w:color w:val="000000"/>
          <w:rFonts w:ascii="仿宋_GB2312" w:hAnsi="仿宋_GB2312"/>
          <w:sz w:val="32"/>
          <w:szCs w:val="32"/>
          <w:shd w:fill="FFFFFF"/>
        </w:rPr>
        <w:t>财政拨款</w:t>
      </w:r>
      <w:r>
        <w:rPr>
          <w:color w:val="000000"/>
          <w:rFonts w:ascii="仿宋_GB2312" w:hAnsi="仿宋_GB2312"/>
          <w:sz w:val="32"/>
          <w:szCs w:val="32"/>
          <w:shd w:fill="FFFFFF"/>
        </w:rPr>
        <w:t>收支总表</w:t>
      </w:r>
    </w:p>
    <w:p>
      <w:pPr>
        <w:shd w:fill="FFFFFF"/>
        <w:pStyle w:val=""/>
        <w:ind w:firstLine="640"/>
        <w:spacing w:before="0" w:after="0" w:line="600" w:lineRule="exact"/>
        <w:rPr>
          <w:color w:val="000000"/>
          <w:rFonts w:ascii="仿宋_GB2312" w:hAnsi="仿宋_GB2312"/>
          <w:sz w:val="32"/>
          <w:szCs w:val="32"/>
        </w:rPr>
      </w:pPr>
      <w:r>
        <w:rPr>
          <w:color w:val="000000"/>
          <w:rFonts w:ascii="仿宋_GB2312" w:hAnsi="仿宋_GB2312"/>
          <w:sz w:val="32"/>
          <w:szCs w:val="32"/>
          <w:shd w:fill="FFFFFF"/>
        </w:rPr>
        <w:t>5</w:t>
      </w:r>
      <w:r>
        <w:rPr>
          <w:color w:val="000000"/>
          <w:rFonts w:ascii="仿宋_GB2312" w:hAnsi="仿宋_GB2312"/>
          <w:sz w:val="32"/>
          <w:szCs w:val="32"/>
          <w:shd w:fill="FFFFFF"/>
        </w:rPr>
        <w:t>. 烈山区财政局</w:t>
      </w:r>
      <w:r>
        <w:rPr>
          <w:color w:val="000000"/>
          <w:rFonts w:ascii="仿宋_GB2312" w:hAnsi="仿宋_GB2312"/>
          <w:sz w:val="32"/>
          <w:szCs w:val="32"/>
          <w:shd w:fill="FFFFFF"/>
        </w:rPr>
        <w:t>2023</w:t>
      </w:r>
      <w:r>
        <w:rPr>
          <w:color w:val="000000"/>
          <w:rFonts w:ascii="仿宋_GB2312" w:hAnsi="仿宋_GB2312"/>
          <w:sz w:val="32"/>
          <w:szCs w:val="32"/>
          <w:shd w:fill="FFFFFF"/>
        </w:rPr>
        <w:t>年一般公共预算支出表</w:t>
      </w:r>
    </w:p>
    <w:p>
      <w:pPr>
        <w:shd w:fill="FFFFFF"/>
        <w:pStyle w:val=""/>
        <w:ind w:firstLine="640"/>
        <w:spacing w:before="0" w:after="0" w:line="600" w:lineRule="exact"/>
        <w:rPr>
          <w:color w:val="000000"/>
          <w:rFonts w:ascii="仿宋_GB2312" w:hAnsi="仿宋_GB2312"/>
          <w:sz w:val="32"/>
          <w:szCs w:val="32"/>
        </w:rPr>
      </w:pPr>
      <w:r>
        <w:rPr>
          <w:color w:val="000000"/>
          <w:rFonts w:ascii="仿宋_GB2312" w:hAnsi="仿宋_GB2312"/>
          <w:sz w:val="32"/>
          <w:szCs w:val="32"/>
          <w:shd w:fill="FFFFFF"/>
        </w:rPr>
        <w:t>6</w:t>
      </w:r>
      <w:r>
        <w:rPr>
          <w:color w:val="000000"/>
          <w:rFonts w:ascii="仿宋_GB2312" w:hAnsi="仿宋_GB2312"/>
          <w:sz w:val="32"/>
          <w:szCs w:val="32"/>
          <w:shd w:fill="FFFFFF"/>
        </w:rPr>
        <w:t>. 烈山区财政局</w:t>
      </w:r>
      <w:r>
        <w:rPr>
          <w:color w:val="000000"/>
          <w:rFonts w:ascii="仿宋_GB2312" w:hAnsi="仿宋_GB2312"/>
          <w:sz w:val="32"/>
          <w:szCs w:val="32"/>
          <w:shd w:fill="FFFFFF"/>
        </w:rPr>
        <w:t>2023</w:t>
      </w:r>
      <w:r>
        <w:rPr>
          <w:color w:val="000000"/>
          <w:rFonts w:ascii="仿宋_GB2312" w:hAnsi="仿宋_GB2312"/>
          <w:sz w:val="32"/>
          <w:szCs w:val="32"/>
          <w:shd w:fill="FFFFFF"/>
        </w:rPr>
        <w:t>年一般公共预算基本支出表</w:t>
      </w:r>
    </w:p>
    <w:p>
      <w:pPr>
        <w:shd w:fill="FFFFFF"/>
        <w:pStyle w:val=""/>
        <w:ind w:firstLine="640"/>
        <w:spacing w:before="0" w:after="0" w:line="600" w:lineRule="exact"/>
        <w:rPr>
          <w:color w:val="000000"/>
          <w:rFonts w:ascii="仿宋_GB2312" w:hAnsi="仿宋_GB2312"/>
          <w:sz w:val="32"/>
          <w:szCs w:val="32"/>
        </w:rPr>
      </w:pPr>
      <w:r>
        <w:rPr>
          <w:color w:val="000000"/>
          <w:rFonts w:ascii="仿宋_GB2312" w:hAnsi="仿宋_GB2312"/>
          <w:sz w:val="32"/>
          <w:szCs w:val="32"/>
          <w:shd w:fill="FFFFFF"/>
        </w:rPr>
        <w:t>7</w:t>
      </w:r>
      <w:r>
        <w:rPr>
          <w:color w:val="000000"/>
          <w:rFonts w:ascii="仿宋_GB2312" w:hAnsi="仿宋_GB2312"/>
          <w:sz w:val="32"/>
          <w:szCs w:val="32"/>
          <w:shd w:fill="FFFFFF"/>
        </w:rPr>
        <w:t>. 烈山区财政局</w:t>
      </w:r>
      <w:r>
        <w:rPr>
          <w:color w:val="000000"/>
          <w:rFonts w:ascii="仿宋_GB2312" w:hAnsi="仿宋_GB2312"/>
          <w:sz w:val="32"/>
          <w:szCs w:val="32"/>
          <w:shd w:fill="FFFFFF"/>
        </w:rPr>
        <w:t>2023</w:t>
      </w:r>
      <w:r>
        <w:rPr>
          <w:color w:val="000000"/>
          <w:rFonts w:ascii="仿宋_GB2312" w:hAnsi="仿宋_GB2312"/>
          <w:sz w:val="32"/>
          <w:szCs w:val="32"/>
          <w:shd w:fill="FFFFFF"/>
        </w:rPr>
        <w:t>年政府性基金预算支出表</w:t>
      </w:r>
    </w:p>
    <w:p>
      <w:pPr>
        <w:shd w:fill="FFFFFF"/>
        <w:pStyle w:val=""/>
        <w:ind w:firstLine="640"/>
        <w:spacing w:before="0" w:after="0" w:line="600" w:lineRule="exact"/>
        <w:rPr>
          <w:color w:val="000000"/>
          <w:rFonts w:ascii="仿宋_GB2312" w:hAnsi="仿宋_GB2312"/>
          <w:sz w:val="32"/>
          <w:szCs w:val="32"/>
          <w:shd w:fill="FFFFFF"/>
        </w:rPr>
      </w:pPr>
      <w:r>
        <w:rPr>
          <w:color w:val="000000"/>
          <w:rFonts w:ascii="仿宋_GB2312" w:hAnsi="仿宋_GB2312"/>
          <w:sz w:val="32"/>
          <w:szCs w:val="32"/>
          <w:shd w:fill="FFFFFF"/>
        </w:rPr>
        <w:t>8</w:t>
      </w:r>
      <w:r>
        <w:rPr>
          <w:color w:val="000000"/>
          <w:rFonts w:ascii="仿宋_GB2312" w:hAnsi="仿宋_GB2312"/>
          <w:sz w:val="32"/>
          <w:szCs w:val="32"/>
          <w:shd w:fill="FFFFFF"/>
        </w:rPr>
        <w:t>. 烈山区财政局</w:t>
      </w:r>
      <w:r>
        <w:rPr>
          <w:color w:val="000000"/>
          <w:rFonts w:ascii="仿宋_GB2312" w:hAnsi="仿宋_GB2312"/>
          <w:sz w:val="32"/>
          <w:szCs w:val="32"/>
          <w:shd w:fill="FFFFFF"/>
        </w:rPr>
        <w:t>2023</w:t>
      </w:r>
      <w:r>
        <w:rPr>
          <w:color w:val="000000"/>
          <w:rFonts w:ascii="仿宋_GB2312" w:hAnsi="仿宋_GB2312"/>
          <w:sz w:val="32"/>
          <w:szCs w:val="32"/>
          <w:shd w:fill="FFFFFF"/>
        </w:rPr>
        <w:t>年国有资本经营预算支</w:t>
      </w:r>
    </w:p>
    <w:p>
      <w:pPr>
        <w:shd w:fill="FFFFFF"/>
        <w:pStyle w:val=""/>
        <w:ind w:firstLine="640"/>
        <w:spacing w:before="0" w:after="0" w:line="600" w:lineRule="exact"/>
        <w:rPr>
          <w:color w:val="000000"/>
          <w:rFonts w:ascii="仿宋_GB2312" w:hAnsi="仿宋_GB2312"/>
          <w:sz w:val="32"/>
          <w:szCs w:val="32"/>
          <w:shd w:fill="FFFFFF"/>
        </w:rPr>
      </w:pPr>
      <w:r>
        <w:rPr>
          <w:color w:val="000000"/>
          <w:rFonts w:ascii="仿宋_GB2312" w:hAnsi="仿宋_GB2312"/>
          <w:sz w:val="32"/>
          <w:szCs w:val="32"/>
          <w:shd w:fill="FFFFFF"/>
        </w:rPr>
        <w:t>9</w:t>
      </w:r>
      <w:r>
        <w:rPr>
          <w:color w:val="000000"/>
          <w:rFonts w:ascii="仿宋_GB2312" w:hAnsi="仿宋_GB2312"/>
          <w:sz w:val="32"/>
          <w:szCs w:val="32"/>
          <w:shd w:fill="FFFFFF"/>
        </w:rPr>
        <w:t>. 烈山区财政局</w:t>
      </w:r>
      <w:r>
        <w:rPr>
          <w:color w:val="000000"/>
          <w:rFonts w:ascii="仿宋_GB2312" w:hAnsi="仿宋_GB2312"/>
          <w:sz w:val="32"/>
          <w:szCs w:val="32"/>
          <w:shd w:fill="FFFFFF"/>
        </w:rPr>
        <w:t>2023</w:t>
      </w:r>
      <w:r>
        <w:rPr>
          <w:color w:val="000000"/>
          <w:rFonts w:ascii="仿宋_GB2312" w:hAnsi="仿宋_GB2312"/>
          <w:sz w:val="32"/>
          <w:szCs w:val="32"/>
          <w:shd w:fill="FFFFFF"/>
        </w:rPr>
        <w:t>年项目支出表</w:t>
      </w:r>
    </w:p>
    <w:p>
      <w:pPr>
        <w:shd w:fill="FFFFFF"/>
        <w:pStyle w:val=""/>
        <w:ind w:firstLine="640"/>
        <w:spacing w:before="0" w:after="0" w:line="600" w:lineRule="exact"/>
        <w:rPr>
          <w:color w:val="000000"/>
          <w:rFonts w:ascii="仿宋_GB2312" w:hAnsi="仿宋_GB2312"/>
          <w:sz w:val="32"/>
          <w:szCs w:val="32"/>
        </w:rPr>
      </w:pPr>
      <w:r>
        <w:rPr>
          <w:color w:val="000000"/>
          <w:rFonts w:ascii="仿宋_GB2312" w:hAnsi="仿宋_GB2312"/>
          <w:sz w:val="32"/>
          <w:szCs w:val="32"/>
          <w:shd w:fill="FFFFFF"/>
        </w:rPr>
        <w:t>10</w:t>
      </w:r>
      <w:r>
        <w:rPr>
          <w:color w:val="000000"/>
          <w:rFonts w:ascii="仿宋_GB2312" w:hAnsi="仿宋_GB2312"/>
          <w:sz w:val="32"/>
          <w:szCs w:val="32"/>
          <w:shd w:fill="FFFFFF"/>
        </w:rPr>
        <w:t>.烈山区财政局</w:t>
      </w:r>
      <w:r>
        <w:rPr>
          <w:color w:val="000000"/>
          <w:rFonts w:ascii="仿宋_GB2312" w:hAnsi="仿宋_GB2312"/>
          <w:sz w:val="32"/>
          <w:szCs w:val="32"/>
          <w:shd w:fill="FFFFFF"/>
        </w:rPr>
        <w:t>2023</w:t>
      </w:r>
      <w:r>
        <w:rPr>
          <w:color w:val="000000"/>
          <w:rFonts w:ascii="仿宋_GB2312" w:hAnsi="仿宋_GB2312"/>
          <w:sz w:val="32"/>
          <w:szCs w:val="32"/>
          <w:shd w:fill="FFFFFF"/>
        </w:rPr>
        <w:t>年政府采购支出表</w:t>
      </w:r>
    </w:p>
    <w:p>
      <w:pPr>
        <w:shd w:fill="FFFFFF"/>
        <w:pStyle w:val=""/>
        <w:ind w:firstLine="640"/>
        <w:spacing w:before="0" w:after="0" w:line="600" w:lineRule="exact"/>
        <w:rPr>
          <w:color w:val="000000"/>
          <w:rFonts w:ascii="仿宋_GB2312" w:hAnsi="仿宋_GB2312"/>
          <w:sz w:val="32"/>
          <w:szCs w:val="32"/>
        </w:rPr>
      </w:pPr>
      <w:r>
        <w:rPr>
          <w:color w:val="000000"/>
          <w:rFonts w:ascii="仿宋_GB2312" w:hAnsi="仿宋_GB2312"/>
          <w:sz w:val="32"/>
          <w:szCs w:val="32"/>
          <w:shd w:fill="FFFFFF"/>
        </w:rPr>
        <w:t>11</w:t>
      </w:r>
      <w:r>
        <w:rPr>
          <w:color w:val="000000"/>
          <w:rFonts w:ascii="仿宋_GB2312" w:hAnsi="仿宋_GB2312"/>
          <w:sz w:val="32"/>
          <w:szCs w:val="32"/>
          <w:shd w:fill="FFFFFF"/>
        </w:rPr>
        <w:t>.烈山区财政局</w:t>
      </w:r>
      <w:r>
        <w:rPr>
          <w:color w:val="000000"/>
          <w:rFonts w:ascii="仿宋_GB2312" w:hAnsi="仿宋_GB2312"/>
          <w:sz w:val="32"/>
          <w:szCs w:val="32"/>
          <w:shd w:fill="FFFFFF"/>
        </w:rPr>
        <w:t>2023</w:t>
      </w:r>
      <w:r>
        <w:rPr>
          <w:color w:val="000000"/>
          <w:rFonts w:ascii="仿宋_GB2312" w:hAnsi="仿宋_GB2312"/>
          <w:sz w:val="32"/>
          <w:szCs w:val="32"/>
          <w:shd w:fill="FFFFFF"/>
        </w:rPr>
        <w:t>年政府购买服务支出表</w:t>
      </w:r>
    </w:p>
    <w:p>
      <w:pPr>
        <w:shd w:fill="FFFFFF"/>
        <w:pStyle w:val=""/>
        <w:ind w:firstLine="640"/>
        <w:spacing w:before="0" w:after="0" w:line="600" w:lineRule="exact"/>
        <w:rPr>
          <w:color w:val="000000"/>
          <w:rFonts w:ascii="仿宋_GB2312" w:hAnsi="仿宋_GB2312"/>
          <w:sz w:val="32"/>
          <w:szCs w:val="32"/>
        </w:rPr>
      </w:pPr>
      <w:r>
        <w:rPr>
          <w:b/>
          <w:color w:val="000000"/>
          <w:rFonts w:ascii="仿宋_GB2312" w:hAnsi="仿宋_GB2312"/>
          <w:sz w:val="32"/>
          <w:szCs w:val="32"/>
          <w:shd w:fill="FFFFFF"/>
        </w:rPr>
        <w:t>第三部分 </w:t>
      </w:r>
      <w:r>
        <w:rPr>
          <w:b/>
          <w:color w:val="000000"/>
          <w:rFonts w:ascii="仿宋_GB2312" w:hAnsi="仿宋_GB2312"/>
          <w:sz w:val="32"/>
          <w:szCs w:val="32"/>
          <w:shd w:fill="FFFFFF"/>
        </w:rPr>
        <w:t>2023</w:t>
      </w:r>
      <w:r>
        <w:rPr>
          <w:b/>
          <w:color w:val="000000"/>
          <w:rFonts w:ascii="仿宋_GB2312" w:hAnsi="仿宋_GB2312"/>
          <w:sz w:val="32"/>
          <w:szCs w:val="32"/>
          <w:shd w:fill="FFFFFF"/>
        </w:rPr>
        <w:t>年部门预算情况说明</w:t>
      </w:r>
    </w:p>
    <w:p>
      <w:pPr>
        <w:shd w:fill="FFFFFF"/>
        <w:pStyle w:val=""/>
        <w:ind w:firstLine="640"/>
        <w:spacing w:before="0" w:after="0" w:line="600" w:lineRule="exact"/>
        <w:rPr>
          <w:color w:val="000000"/>
          <w:rFonts w:ascii="仿宋_GB2312" w:hAnsi="仿宋_GB2312"/>
          <w:sz w:val="32"/>
          <w:szCs w:val="32"/>
        </w:rPr>
      </w:pPr>
      <w:r>
        <w:rPr>
          <w:color w:val="000000"/>
          <w:rFonts w:ascii="仿宋_GB2312" w:hAnsi="仿宋_GB2312"/>
          <w:sz w:val="32"/>
          <w:szCs w:val="32"/>
          <w:shd w:fill="FFFFFF"/>
        </w:rPr>
        <w:t>1</w:t>
      </w:r>
      <w:r>
        <w:rPr>
          <w:color w:val="000000"/>
          <w:rFonts w:ascii="仿宋_GB2312" w:hAnsi="仿宋_GB2312"/>
          <w:sz w:val="32"/>
          <w:szCs w:val="32"/>
          <w:shd w:fill="FFFFFF"/>
        </w:rPr>
        <w:t xml:space="preserve">. </w:t>
      </w:r>
      <w:r>
        <w:rPr>
          <w:color w:val="000000"/>
          <w:rFonts w:ascii="仿宋_GB2312" w:hAnsi="仿宋_GB2312"/>
          <w:sz w:val="32"/>
          <w:szCs w:val="32"/>
          <w:shd w:fill="FFFFFF"/>
        </w:rPr>
        <w:t>关于2023</w:t>
      </w:r>
      <w:r>
        <w:rPr>
          <w:color w:val="000000"/>
          <w:rFonts w:ascii="仿宋_GB2312" w:hAnsi="仿宋_GB2312"/>
          <w:sz w:val="32"/>
          <w:szCs w:val="32"/>
          <w:shd w:fill="FFFFFF"/>
        </w:rPr>
        <w:t>年收支总表</w:t>
      </w:r>
      <w:r>
        <w:rPr>
          <w:color w:val="000000"/>
          <w:rFonts w:ascii="仿宋_GB2312" w:hAnsi="仿宋_GB2312"/>
          <w:sz w:val="32"/>
          <w:szCs w:val="32"/>
          <w:shd w:fill="FFFFFF"/>
        </w:rPr>
        <w:t>的说明</w:t>
      </w:r>
    </w:p>
    <w:p>
      <w:pPr>
        <w:shd w:fill="FFFFFF"/>
        <w:pStyle w:val=""/>
        <w:ind w:firstLine="640"/>
        <w:spacing w:before="0" w:after="0" w:line="600" w:lineRule="exact"/>
        <w:rPr>
          <w:color w:val="000000"/>
          <w:rFonts w:ascii="仿宋_GB2312" w:hAnsi="仿宋_GB2312"/>
          <w:sz w:val="32"/>
          <w:szCs w:val="32"/>
        </w:rPr>
      </w:pPr>
      <w:r>
        <w:rPr>
          <w:color w:val="000000"/>
          <w:rFonts w:ascii="仿宋_GB2312" w:hAnsi="仿宋_GB2312"/>
          <w:sz w:val="32"/>
          <w:szCs w:val="32"/>
          <w:shd w:fill="FFFFFF"/>
        </w:rPr>
        <w:t>2</w:t>
      </w:r>
      <w:r>
        <w:rPr>
          <w:color w:val="000000"/>
          <w:rFonts w:ascii="仿宋_GB2312" w:hAnsi="仿宋_GB2312"/>
          <w:sz w:val="32"/>
          <w:szCs w:val="32"/>
          <w:shd w:fill="FFFFFF"/>
        </w:rPr>
        <w:t xml:space="preserve">. </w:t>
      </w:r>
      <w:r>
        <w:rPr>
          <w:color w:val="000000"/>
          <w:rFonts w:ascii="仿宋_GB2312" w:hAnsi="仿宋_GB2312"/>
          <w:sz w:val="32"/>
          <w:szCs w:val="32"/>
          <w:shd w:fill="FFFFFF"/>
        </w:rPr>
        <w:t>关于2023</w:t>
      </w:r>
      <w:r>
        <w:rPr>
          <w:color w:val="000000"/>
          <w:rFonts w:ascii="仿宋_GB2312" w:hAnsi="仿宋_GB2312"/>
          <w:sz w:val="32"/>
          <w:szCs w:val="32"/>
          <w:shd w:fill="FFFFFF"/>
        </w:rPr>
        <w:t>年收入总表</w:t>
      </w:r>
      <w:r>
        <w:rPr>
          <w:color w:val="000000"/>
          <w:rFonts w:ascii="仿宋_GB2312" w:hAnsi="仿宋_GB2312"/>
          <w:sz w:val="32"/>
          <w:szCs w:val="32"/>
          <w:shd w:fill="FFFFFF"/>
        </w:rPr>
        <w:t>的说明</w:t>
      </w:r>
    </w:p>
    <w:p>
      <w:pPr>
        <w:shd w:fill="FFFFFF"/>
        <w:pStyle w:val=""/>
        <w:ind w:firstLine="640"/>
        <w:spacing w:before="0" w:after="0" w:line="600" w:lineRule="exact"/>
        <w:rPr>
          <w:b/>
          <w:color w:val="000000"/>
          <w:rFonts w:ascii="仿宋_GB2312" w:hAnsi="仿宋_GB2312"/>
          <w:sz w:val="32"/>
          <w:szCs w:val="32"/>
          <w:shd w:fill="FFFFFF"/>
        </w:rPr>
      </w:pPr>
      <w:r>
        <w:rPr>
          <w:color w:val="000000"/>
          <w:rFonts w:ascii="仿宋_GB2312" w:hAnsi="仿宋_GB2312"/>
          <w:sz w:val="32"/>
          <w:szCs w:val="32"/>
          <w:shd w:fill="FFFFFF"/>
        </w:rPr>
        <w:t>3</w:t>
      </w:r>
      <w:r>
        <w:rPr>
          <w:color w:val="000000"/>
          <w:rFonts w:ascii="仿宋_GB2312" w:hAnsi="仿宋_GB2312"/>
          <w:sz w:val="32"/>
          <w:szCs w:val="32"/>
          <w:shd w:fill="FFFFFF"/>
        </w:rPr>
        <w:t xml:space="preserve">. </w:t>
      </w:r>
      <w:r>
        <w:rPr>
          <w:color w:val="000000"/>
          <w:rFonts w:ascii="仿宋_GB2312" w:hAnsi="仿宋_GB2312"/>
          <w:sz w:val="32"/>
          <w:szCs w:val="32"/>
          <w:shd w:fill="FFFFFF"/>
        </w:rPr>
        <w:t>关于2023</w:t>
      </w:r>
      <w:r>
        <w:rPr>
          <w:color w:val="000000"/>
          <w:rFonts w:ascii="仿宋_GB2312" w:hAnsi="仿宋_GB2312"/>
          <w:sz w:val="32"/>
          <w:szCs w:val="32"/>
          <w:shd w:fill="FFFFFF"/>
        </w:rPr>
        <w:t>年支出总表</w:t>
      </w:r>
      <w:r>
        <w:rPr>
          <w:color w:val="000000"/>
          <w:rFonts w:ascii="仿宋_GB2312" w:hAnsi="仿宋_GB2312"/>
          <w:sz w:val="32"/>
          <w:szCs w:val="32"/>
          <w:shd w:fill="FFFFFF"/>
        </w:rPr>
        <w:t>的说明</w:t>
      </w:r>
    </w:p>
    <w:p>
      <w:pPr>
        <w:shd w:fill="FFFFFF"/>
        <w:pStyle w:val=""/>
        <w:ind w:firstLine="640"/>
        <w:spacing w:before="0" w:after="0" w:line="600" w:lineRule="exact"/>
        <w:rPr>
          <w:color w:val="000000"/>
          <w:rFonts w:ascii="仿宋_GB2312" w:hAnsi="仿宋_GB2312"/>
          <w:sz w:val="32"/>
          <w:szCs w:val="32"/>
        </w:rPr>
      </w:pPr>
      <w:r>
        <w:rPr>
          <w:color w:val="000000"/>
          <w:rFonts w:ascii="仿宋_GB2312" w:hAnsi="仿宋_GB2312"/>
          <w:sz w:val="32"/>
          <w:szCs w:val="32"/>
          <w:shd w:fill="FFFFFF"/>
        </w:rPr>
        <w:t>4</w:t>
      </w:r>
      <w:r>
        <w:rPr>
          <w:color w:val="000000"/>
          <w:rFonts w:ascii="仿宋_GB2312" w:hAnsi="仿宋_GB2312"/>
          <w:sz w:val="32"/>
          <w:szCs w:val="32"/>
          <w:shd w:fill="FFFFFF"/>
        </w:rPr>
        <w:t xml:space="preserve">. </w:t>
      </w:r>
      <w:r>
        <w:rPr>
          <w:color w:val="000000"/>
          <w:rFonts w:ascii="仿宋_GB2312" w:hAnsi="仿宋_GB2312"/>
          <w:sz w:val="32"/>
          <w:szCs w:val="32"/>
          <w:shd w:fill="FFFFFF"/>
        </w:rPr>
        <w:t>关于2023</w:t>
      </w:r>
      <w:r>
        <w:rPr>
          <w:color w:val="000000"/>
          <w:rFonts w:ascii="仿宋_GB2312" w:hAnsi="仿宋_GB2312"/>
          <w:sz w:val="32"/>
          <w:szCs w:val="32"/>
          <w:shd w:fill="FFFFFF"/>
        </w:rPr>
        <w:t>年</w:t>
      </w:r>
      <w:r>
        <w:rPr>
          <w:color w:val="000000"/>
          <w:rFonts w:ascii="仿宋_GB2312" w:hAnsi="仿宋_GB2312"/>
          <w:sz w:val="32"/>
          <w:szCs w:val="32"/>
          <w:shd w:fill="FFFFFF"/>
        </w:rPr>
        <w:t>财政拨款</w:t>
      </w:r>
      <w:r>
        <w:rPr>
          <w:color w:val="000000"/>
          <w:rFonts w:ascii="仿宋_GB2312" w:hAnsi="仿宋_GB2312"/>
          <w:sz w:val="32"/>
          <w:szCs w:val="32"/>
          <w:shd w:fill="FFFFFF"/>
        </w:rPr>
        <w:t>收支总表</w:t>
      </w:r>
      <w:r>
        <w:rPr>
          <w:color w:val="000000"/>
          <w:rFonts w:ascii="仿宋_GB2312" w:hAnsi="仿宋_GB2312"/>
          <w:sz w:val="32"/>
          <w:szCs w:val="32"/>
          <w:shd w:fill="FFFFFF"/>
        </w:rPr>
        <w:t>的说明</w:t>
      </w:r>
    </w:p>
    <w:p>
      <w:pPr>
        <w:shd w:fill="FFFFFF"/>
        <w:pStyle w:val=""/>
        <w:ind w:firstLine="640"/>
        <w:spacing w:before="0" w:after="0" w:line="600" w:lineRule="exact"/>
        <w:rPr>
          <w:color w:val="000000"/>
          <w:rFonts w:ascii="仿宋_GB2312" w:hAnsi="仿宋_GB2312"/>
          <w:sz w:val="32"/>
          <w:szCs w:val="32"/>
        </w:rPr>
      </w:pPr>
      <w:r>
        <w:rPr>
          <w:color w:val="000000"/>
          <w:rFonts w:ascii="仿宋_GB2312" w:hAnsi="仿宋_GB2312"/>
          <w:sz w:val="32"/>
          <w:szCs w:val="32"/>
          <w:shd w:fill="FFFFFF"/>
        </w:rPr>
        <w:t>5</w:t>
      </w:r>
      <w:r>
        <w:rPr>
          <w:color w:val="000000"/>
          <w:rFonts w:ascii="仿宋_GB2312" w:hAnsi="仿宋_GB2312"/>
          <w:sz w:val="32"/>
          <w:szCs w:val="32"/>
          <w:shd w:fill="FFFFFF"/>
        </w:rPr>
        <w:t xml:space="preserve">. </w:t>
      </w:r>
      <w:r>
        <w:rPr>
          <w:color w:val="000000"/>
          <w:rFonts w:ascii="仿宋_GB2312" w:hAnsi="仿宋_GB2312"/>
          <w:sz w:val="32"/>
          <w:szCs w:val="32"/>
          <w:shd w:fill="FFFFFF"/>
        </w:rPr>
        <w:t>关于2023</w:t>
      </w:r>
      <w:r>
        <w:rPr>
          <w:color w:val="000000"/>
          <w:rFonts w:ascii="仿宋_GB2312" w:hAnsi="仿宋_GB2312"/>
          <w:sz w:val="32"/>
          <w:szCs w:val="32"/>
          <w:shd w:fill="FFFFFF"/>
        </w:rPr>
        <w:t>年一般公共预算支出表</w:t>
      </w:r>
      <w:r>
        <w:rPr>
          <w:color w:val="000000"/>
          <w:rFonts w:ascii="仿宋_GB2312" w:hAnsi="仿宋_GB2312"/>
          <w:sz w:val="32"/>
          <w:szCs w:val="32"/>
          <w:shd w:fill="FFFFFF"/>
        </w:rPr>
        <w:t>的说明</w:t>
      </w:r>
    </w:p>
    <w:p>
      <w:pPr>
        <w:shd w:fill="FFFFFF"/>
        <w:pStyle w:val=""/>
        <w:ind w:firstLine="640"/>
        <w:spacing w:before="0" w:after="0" w:line="600" w:lineRule="exact"/>
        <w:rPr>
          <w:color w:val="000000"/>
          <w:rFonts w:ascii="仿宋_GB2312" w:hAnsi="仿宋_GB2312"/>
          <w:sz w:val="32"/>
          <w:szCs w:val="32"/>
        </w:rPr>
      </w:pPr>
      <w:r>
        <w:rPr>
          <w:color w:val="000000"/>
          <w:rFonts w:ascii="仿宋_GB2312" w:hAnsi="仿宋_GB2312"/>
          <w:sz w:val="32"/>
          <w:szCs w:val="32"/>
          <w:shd w:fill="FFFFFF"/>
        </w:rPr>
        <w:t>6</w:t>
      </w:r>
      <w:r>
        <w:rPr>
          <w:color w:val="000000"/>
          <w:rFonts w:ascii="仿宋_GB2312" w:hAnsi="仿宋_GB2312"/>
          <w:sz w:val="32"/>
          <w:szCs w:val="32"/>
          <w:shd w:fill="FFFFFF"/>
        </w:rPr>
        <w:t xml:space="preserve">. </w:t>
      </w:r>
      <w:r>
        <w:rPr>
          <w:color w:val="000000"/>
          <w:rFonts w:ascii="仿宋_GB2312" w:hAnsi="仿宋_GB2312"/>
          <w:sz w:val="32"/>
          <w:szCs w:val="32"/>
          <w:shd w:fill="FFFFFF"/>
        </w:rPr>
        <w:t>关于2023</w:t>
      </w:r>
      <w:r>
        <w:rPr>
          <w:color w:val="000000"/>
          <w:rFonts w:ascii="仿宋_GB2312" w:hAnsi="仿宋_GB2312"/>
          <w:sz w:val="32"/>
          <w:szCs w:val="32"/>
          <w:shd w:fill="FFFFFF"/>
        </w:rPr>
        <w:t>年一般公共预算基本支出表</w:t>
      </w:r>
      <w:r>
        <w:rPr>
          <w:color w:val="000000"/>
          <w:rFonts w:ascii="仿宋_GB2312" w:hAnsi="仿宋_GB2312"/>
          <w:sz w:val="32"/>
          <w:szCs w:val="32"/>
          <w:shd w:fill="FFFFFF"/>
        </w:rPr>
        <w:t>的说明</w:t>
      </w:r>
    </w:p>
    <w:p>
      <w:pPr>
        <w:shd w:fill="FFFFFF"/>
        <w:pStyle w:val=""/>
        <w:ind w:firstLine="640"/>
        <w:spacing w:before="0" w:after="0" w:line="600" w:lineRule="exact"/>
        <w:rPr>
          <w:color w:val="000000"/>
          <w:rFonts w:ascii="仿宋_GB2312" w:hAnsi="仿宋_GB2312"/>
          <w:sz w:val="32"/>
          <w:szCs w:val="32"/>
        </w:rPr>
      </w:pPr>
      <w:r>
        <w:rPr>
          <w:color w:val="000000"/>
          <w:rFonts w:ascii="仿宋_GB2312" w:hAnsi="仿宋_GB2312"/>
          <w:sz w:val="32"/>
          <w:szCs w:val="32"/>
          <w:shd w:fill="FFFFFF"/>
        </w:rPr>
        <w:t>7</w:t>
      </w:r>
      <w:r>
        <w:rPr>
          <w:color w:val="000000"/>
          <w:rFonts w:ascii="仿宋_GB2312" w:hAnsi="仿宋_GB2312"/>
          <w:sz w:val="32"/>
          <w:szCs w:val="32"/>
          <w:shd w:fill="FFFFFF"/>
        </w:rPr>
        <w:t xml:space="preserve">. </w:t>
      </w:r>
      <w:r>
        <w:rPr>
          <w:color w:val="000000"/>
          <w:rFonts w:ascii="仿宋_GB2312" w:hAnsi="仿宋_GB2312"/>
          <w:sz w:val="32"/>
          <w:szCs w:val="32"/>
          <w:shd w:fill="FFFFFF"/>
        </w:rPr>
        <w:t>关于2023</w:t>
      </w:r>
      <w:r>
        <w:rPr>
          <w:color w:val="000000"/>
          <w:rFonts w:ascii="仿宋_GB2312" w:hAnsi="仿宋_GB2312"/>
          <w:sz w:val="32"/>
          <w:szCs w:val="32"/>
          <w:shd w:fill="FFFFFF"/>
        </w:rPr>
        <w:t>年政府性基金预算支出表</w:t>
      </w:r>
      <w:r>
        <w:rPr>
          <w:color w:val="000000"/>
          <w:rFonts w:ascii="仿宋_GB2312" w:hAnsi="仿宋_GB2312"/>
          <w:sz w:val="32"/>
          <w:szCs w:val="32"/>
          <w:shd w:fill="FFFFFF"/>
        </w:rPr>
        <w:t>的说明</w:t>
      </w:r>
    </w:p>
    <w:p>
      <w:pPr>
        <w:shd w:fill="FFFFFF"/>
        <w:pStyle w:val=""/>
        <w:ind w:firstLine="640"/>
        <w:spacing w:before="0" w:after="0" w:line="600" w:lineRule="exact"/>
        <w:rPr>
          <w:color w:val="000000"/>
          <w:rFonts w:ascii="仿宋_GB2312" w:hAnsi="仿宋_GB2312"/>
          <w:sz w:val="32"/>
          <w:szCs w:val="32"/>
          <w:shd w:fill="FFFFFF"/>
        </w:rPr>
      </w:pPr>
      <w:r>
        <w:rPr>
          <w:color w:val="000000"/>
          <w:rFonts w:ascii="仿宋_GB2312" w:hAnsi="仿宋_GB2312"/>
          <w:sz w:val="32"/>
          <w:szCs w:val="32"/>
          <w:shd w:fill="FFFFFF"/>
        </w:rPr>
        <w:t>8</w:t>
      </w:r>
      <w:r>
        <w:rPr>
          <w:color w:val="000000"/>
          <w:rFonts w:ascii="仿宋_GB2312" w:hAnsi="仿宋_GB2312"/>
          <w:sz w:val="32"/>
          <w:szCs w:val="32"/>
          <w:shd w:fill="FFFFFF"/>
        </w:rPr>
        <w:t xml:space="preserve">. </w:t>
      </w:r>
      <w:r>
        <w:rPr>
          <w:color w:val="000000"/>
          <w:rFonts w:ascii="仿宋_GB2312" w:hAnsi="仿宋_GB2312"/>
          <w:sz w:val="32"/>
          <w:szCs w:val="32"/>
          <w:shd w:fill="FFFFFF"/>
        </w:rPr>
        <w:t>关于2023</w:t>
      </w:r>
      <w:r>
        <w:rPr>
          <w:color w:val="000000"/>
          <w:rFonts w:ascii="仿宋_GB2312" w:hAnsi="仿宋_GB2312"/>
          <w:sz w:val="32"/>
          <w:szCs w:val="32"/>
          <w:shd w:fill="FFFFFF"/>
        </w:rPr>
        <w:t>年国有资本经营预算支</w:t>
      </w:r>
      <w:r>
        <w:rPr>
          <w:color w:val="000000"/>
          <w:rFonts w:ascii="仿宋_GB2312" w:hAnsi="仿宋_GB2312"/>
          <w:sz w:val="32"/>
          <w:szCs w:val="32"/>
          <w:shd w:fill="FFFFFF"/>
        </w:rPr>
        <w:t>出表的说明</w:t>
      </w:r>
    </w:p>
    <w:p>
      <w:pPr>
        <w:shd w:fill="FFFFFF"/>
        <w:pStyle w:val=""/>
        <w:ind w:firstLine="640"/>
        <w:spacing w:before="0" w:after="0" w:line="600" w:lineRule="exact"/>
        <w:rPr>
          <w:color w:val="000000"/>
          <w:rFonts w:ascii="仿宋_GB2312" w:hAnsi="仿宋_GB2312"/>
          <w:sz w:val="32"/>
          <w:szCs w:val="32"/>
          <w:shd w:fill="FFFFFF"/>
        </w:rPr>
      </w:pPr>
      <w:r>
        <w:rPr>
          <w:color w:val="000000"/>
          <w:rFonts w:ascii="仿宋_GB2312" w:hAnsi="仿宋_GB2312"/>
          <w:sz w:val="32"/>
          <w:szCs w:val="32"/>
          <w:shd w:fill="FFFFFF"/>
        </w:rPr>
        <w:t>9</w:t>
      </w:r>
      <w:r>
        <w:rPr>
          <w:color w:val="000000"/>
          <w:rFonts w:ascii="仿宋_GB2312" w:hAnsi="仿宋_GB2312"/>
          <w:sz w:val="32"/>
          <w:szCs w:val="32"/>
          <w:shd w:fill="FFFFFF"/>
        </w:rPr>
        <w:t xml:space="preserve">. </w:t>
      </w:r>
      <w:r>
        <w:rPr>
          <w:color w:val="000000"/>
          <w:rFonts w:ascii="仿宋_GB2312" w:hAnsi="仿宋_GB2312"/>
          <w:sz w:val="32"/>
          <w:szCs w:val="32"/>
          <w:shd w:fill="FFFFFF"/>
        </w:rPr>
        <w:t>关于2023</w:t>
      </w:r>
      <w:r>
        <w:rPr>
          <w:color w:val="000000"/>
          <w:rFonts w:ascii="仿宋_GB2312" w:hAnsi="仿宋_GB2312"/>
          <w:sz w:val="32"/>
          <w:szCs w:val="32"/>
          <w:shd w:fill="FFFFFF"/>
        </w:rPr>
        <w:t>年项目支出表</w:t>
      </w:r>
      <w:r>
        <w:rPr>
          <w:color w:val="000000"/>
          <w:rFonts w:ascii="仿宋_GB2312" w:hAnsi="仿宋_GB2312"/>
          <w:sz w:val="32"/>
          <w:szCs w:val="32"/>
          <w:shd w:fill="FFFFFF"/>
        </w:rPr>
        <w:t>的说明</w:t>
      </w:r>
    </w:p>
    <w:p>
      <w:pPr>
        <w:shd w:fill="FFFFFF"/>
        <w:pStyle w:val=""/>
        <w:ind w:firstLine="640"/>
        <w:spacing w:before="0" w:after="0" w:line="600" w:lineRule="exact"/>
        <w:rPr>
          <w:color w:val="000000"/>
          <w:rFonts w:ascii="仿宋_GB2312" w:hAnsi="仿宋_GB2312"/>
          <w:sz w:val="32"/>
          <w:szCs w:val="32"/>
        </w:rPr>
      </w:pPr>
      <w:r>
        <w:rPr>
          <w:color w:val="000000"/>
          <w:rFonts w:ascii="仿宋_GB2312" w:hAnsi="仿宋_GB2312"/>
          <w:sz w:val="32"/>
          <w:szCs w:val="32"/>
          <w:shd w:fill="FFFFFF"/>
        </w:rPr>
        <w:t>10</w:t>
      </w:r>
      <w:r>
        <w:rPr>
          <w:color w:val="000000"/>
          <w:rFonts w:ascii="仿宋_GB2312" w:hAnsi="仿宋_GB2312"/>
          <w:sz w:val="32"/>
          <w:szCs w:val="32"/>
          <w:shd w:fill="FFFFFF"/>
        </w:rPr>
        <w:t>.</w:t>
      </w:r>
      <w:r>
        <w:rPr>
          <w:color w:val="000000"/>
          <w:rFonts w:ascii="仿宋_GB2312" w:hAnsi="仿宋_GB2312"/>
          <w:sz w:val="32"/>
          <w:szCs w:val="32"/>
          <w:shd w:fill="FFFFFF"/>
        </w:rPr>
        <w:t>关于2023</w:t>
      </w:r>
      <w:r>
        <w:rPr>
          <w:color w:val="000000"/>
          <w:rFonts w:ascii="仿宋_GB2312" w:hAnsi="仿宋_GB2312"/>
          <w:sz w:val="32"/>
          <w:szCs w:val="32"/>
          <w:shd w:fill="FFFFFF"/>
        </w:rPr>
        <w:t>年政府采购支出表</w:t>
      </w:r>
      <w:r>
        <w:rPr>
          <w:color w:val="000000"/>
          <w:rFonts w:ascii="仿宋_GB2312" w:hAnsi="仿宋_GB2312"/>
          <w:sz w:val="32"/>
          <w:szCs w:val="32"/>
          <w:shd w:fill="FFFFFF"/>
        </w:rPr>
        <w:t>的说明</w:t>
      </w:r>
    </w:p>
    <w:p>
      <w:pPr>
        <w:shd w:fill="FFFFFF"/>
        <w:pStyle w:val=""/>
        <w:ind w:firstLine="640"/>
        <w:spacing w:before="0" w:after="0" w:line="600" w:lineRule="exact"/>
        <w:rPr>
          <w:color w:val="000000"/>
          <w:rFonts w:ascii="仿宋_GB2312" w:hAnsi="仿宋_GB2312"/>
          <w:sz w:val="32"/>
          <w:szCs w:val="32"/>
          <w:shd w:fill="FFFFFF"/>
        </w:rPr>
      </w:pPr>
      <w:r>
        <w:rPr>
          <w:color w:val="000000"/>
          <w:rFonts w:ascii="仿宋_GB2312" w:hAnsi="仿宋_GB2312"/>
          <w:sz w:val="32"/>
          <w:szCs w:val="32"/>
          <w:shd w:fill="FFFFFF"/>
        </w:rPr>
        <w:t>11</w:t>
      </w:r>
      <w:r>
        <w:rPr>
          <w:color w:val="000000"/>
          <w:rFonts w:ascii="仿宋_GB2312" w:hAnsi="仿宋_GB2312"/>
          <w:sz w:val="32"/>
          <w:szCs w:val="32"/>
          <w:shd w:fill="FFFFFF"/>
        </w:rPr>
        <w:t>.烈山区财政局</w:t>
      </w:r>
      <w:r>
        <w:rPr>
          <w:color w:val="000000"/>
          <w:rFonts w:ascii="仿宋_GB2312" w:hAnsi="仿宋_GB2312"/>
          <w:sz w:val="32"/>
          <w:szCs w:val="32"/>
          <w:shd w:fill="FFFFFF"/>
        </w:rPr>
        <w:t>2023</w:t>
      </w:r>
      <w:r>
        <w:rPr>
          <w:color w:val="000000"/>
          <w:rFonts w:ascii="仿宋_GB2312" w:hAnsi="仿宋_GB2312"/>
          <w:sz w:val="32"/>
          <w:szCs w:val="32"/>
          <w:shd w:fill="FFFFFF"/>
        </w:rPr>
        <w:t>年政府购买服务支出表</w:t>
      </w:r>
      <w:r>
        <w:rPr>
          <w:color w:val="000000"/>
          <w:rFonts w:ascii="仿宋_GB2312" w:hAnsi="仿宋_GB2312"/>
          <w:sz w:val="32"/>
          <w:szCs w:val="32"/>
          <w:shd w:fill="FFFFFF"/>
        </w:rPr>
        <w:t>的说明</w:t>
      </w:r>
    </w:p>
    <w:p>
      <w:pPr>
        <w:shd w:fill="FFFFFF"/>
        <w:pStyle w:val=""/>
        <w:ind w:firstLine="640"/>
        <w:spacing w:before="0" w:after="0" w:line="600" w:lineRule="exact"/>
        <w:rPr>
          <w:color w:val="000000"/>
          <w:rFonts w:ascii="仿宋_GB2312" w:hAnsi="仿宋_GB2312"/>
          <w:sz w:val="32"/>
          <w:szCs w:val="32"/>
          <w:shd w:fill="FFFFFF"/>
        </w:rPr>
      </w:pPr>
      <w:r>
        <w:rPr>
          <w:color w:val="000000"/>
          <w:rFonts w:ascii="仿宋_GB2312" w:hAnsi="仿宋_GB2312"/>
          <w:sz w:val="32"/>
          <w:szCs w:val="32"/>
          <w:shd w:fill="FFFFFF"/>
        </w:rPr>
        <w:t>12</w:t>
      </w:r>
      <w:r>
        <w:rPr>
          <w:color w:val="000000"/>
          <w:rFonts w:ascii="仿宋_GB2312" w:hAnsi="仿宋_GB2312"/>
          <w:sz w:val="32"/>
          <w:szCs w:val="32"/>
          <w:shd w:fill="FFFFFF"/>
        </w:rPr>
        <w:t>.其他重要事项情况说明</w:t>
      </w:r>
    </w:p>
    <w:p>
      <w:pPr>
        <w:shd w:fill="FFFFFF"/>
        <w:pStyle w:val=""/>
        <w:ind w:firstLine="640"/>
        <w:spacing w:before="0" w:after="0" w:line="600" w:lineRule="exact"/>
        <w:rPr>
          <w:color w:val="000000"/>
          <w:rFonts w:ascii="仿宋_GB2312" w:hAnsi="仿宋_GB2312"/>
          <w:sz w:val="32"/>
          <w:szCs w:val="32"/>
        </w:rPr>
      </w:pPr>
      <w:r>
        <w:rPr>
          <w:b/>
          <w:color w:val="000000"/>
          <w:rFonts w:ascii="仿宋_GB2312" w:hAnsi="仿宋_GB2312"/>
          <w:sz w:val="32"/>
          <w:szCs w:val="32"/>
          <w:shd w:fill="FFFFFF"/>
        </w:rPr>
        <w:t>第四部分 名词解释</w:t>
      </w:r>
    </w:p>
    <w:p>
      <w:pPr>
        <w:shd w:fill="FFFFFF"/>
        <w:pStyle w:val=""/>
        <w:jc w:val="both"/>
        <w:spacing w:before="0" w:after="0" w:line="600" w:lineRule="exact"/>
        <w:rPr>
          <w:color w:val="000000"/>
          <w:rFonts w:ascii="仿宋_GB2312" w:hAnsi="仿宋_GB2312"/>
          <w:sz w:val="32"/>
          <w:szCs w:val="32"/>
        </w:rPr>
      </w:pPr>
      <w:r>
        <w:rPr>
          <w:color w:val="000000"/>
          <w:rFonts w:ascii="仿宋_GB2312" w:hAnsi="仿宋_GB2312"/>
          <w:sz w:val="32"/>
          <w:szCs w:val="32"/>
          <w:shd w:fill="FFFFFF"/>
        </w:rPr>
        <w:t> </w:t>
      </w:r>
    </w:p>
    <w:p>
      <w:pPr>
        <w:shd w:fill="FFFFFF"/>
        <w:pStyle w:val=""/>
        <w:jc w:val="both"/>
        <w:spacing w:before="0" w:after="0" w:line="600" w:lineRule="exact"/>
        <w:rPr>
          <w:color w:val="000000"/>
          <w:rFonts w:ascii="仿宋_GB2312" w:hAnsi="仿宋_GB2312"/>
          <w:sz w:val="32"/>
          <w:szCs w:val="32"/>
        </w:rPr>
      </w:pPr>
      <w:r>
        <w:rPr>
          <w:color w:val="000000"/>
          <w:rFonts w:ascii="仿宋_GB2312" w:hAnsi="仿宋_GB2312"/>
          <w:sz w:val="32"/>
          <w:szCs w:val="32"/>
          <w:shd w:fill="FFFFFF"/>
        </w:rPr>
        <w:t> </w:t>
      </w:r>
    </w:p>
    <w:p>
      <w:pPr>
        <w:shd w:fill="FFFFFF"/>
        <w:pStyle w:val=""/>
        <w:jc w:val="both"/>
        <w:spacing w:before="0" w:after="0" w:line="600" w:lineRule="exact"/>
        <w:rPr>
          <w:color w:val="000000"/>
          <w:rFonts w:ascii="仿宋_GB2312" w:hAnsi="仿宋_GB2312"/>
          <w:sz w:val="32"/>
          <w:szCs w:val="32"/>
        </w:rPr>
      </w:pPr>
      <w:r>
        <w:rPr>
          <w:color w:val="000000"/>
          <w:rFonts w:ascii="仿宋_GB2312" w:hAnsi="仿宋_GB2312"/>
          <w:sz w:val="32"/>
          <w:szCs w:val="32"/>
          <w:shd w:fill="FFFFFF"/>
        </w:rPr>
        <w:t> </w:t>
      </w:r>
    </w:p>
    <w:p>
      <w:pPr>
        <w:shd w:fill="FFFFFF"/>
        <w:pStyle w:val=""/>
        <w:jc w:val="center"/>
        <w:spacing w:before="0" w:after="0" w:line="315" w:lineRule="atLeast"/>
        <w:rPr>
          <w:b/>
          <w:color w:val="000000"/>
          <w:rFonts w:ascii="仿宋_GB2312" w:hAnsi="仿宋_GB2312"/>
          <w:sz w:val="32"/>
          <w:szCs w:val="32"/>
          <w:shd w:fill="FFFFFF"/>
        </w:rPr>
      </w:pPr>
    </w:p>
    <w:p>
      <w:pPr>
        <w:shd w:fill="FFFFFF"/>
        <w:pStyle w:val=""/>
        <w:jc w:val="center"/>
        <w:spacing w:before="0" w:after="0" w:line="315" w:lineRule="atLeast"/>
        <w:rPr>
          <w:b/>
          <w:color w:val="000000"/>
          <w:rFonts w:ascii="仿宋_GB2312" w:hAnsi="仿宋_GB2312"/>
          <w:sz w:val="32"/>
          <w:szCs w:val="32"/>
          <w:shd w:fill="FFFFFF"/>
        </w:rPr>
      </w:pPr>
    </w:p>
    <w:p>
      <w:pPr>
        <w:shd w:fill="FFFFFF"/>
        <w:pStyle w:val=""/>
        <w:jc w:val="center"/>
        <w:spacing w:before="0" w:after="0" w:line="315" w:lineRule="atLeast"/>
        <w:rPr>
          <w:b/>
          <w:color w:val="000000"/>
          <w:rFonts w:ascii="仿宋_GB2312" w:hAnsi="仿宋_GB2312"/>
          <w:sz w:val="32"/>
          <w:szCs w:val="32"/>
          <w:shd w:fill="FFFFFF"/>
        </w:rPr>
      </w:pPr>
    </w:p>
    <w:p>
      <w:pPr>
        <w:shd w:fill="FFFFFF"/>
        <w:pStyle w:val=""/>
        <w:jc w:val="center"/>
        <w:spacing w:before="0" w:after="0" w:line="315" w:lineRule="atLeast"/>
        <w:rPr>
          <w:b/>
          <w:color w:val="000000"/>
          <w:rFonts w:ascii="华文中宋" w:hAnsi="华文中宋"/>
          <w:sz w:val="52"/>
          <w:szCs w:val="52"/>
          <w:shd w:fill="FFFFFF"/>
        </w:rPr>
      </w:pPr>
    </w:p>
    <w:p>
      <w:pPr>
        <w:shd w:fill="FFFFFF"/>
        <w:pStyle w:val=""/>
        <w:jc w:val="center"/>
        <w:spacing w:before="0" w:after="0" w:line="315" w:lineRule="atLeast"/>
        <w:rPr>
          <w:b/>
          <w:color w:val="000000"/>
          <w:rFonts w:ascii="华文中宋" w:hAnsi="华文中宋"/>
          <w:sz w:val="52"/>
          <w:szCs w:val="52"/>
          <w:shd w:fill="FFFFFF"/>
        </w:rPr>
      </w:pPr>
    </w:p>
    <w:p>
      <w:pPr>
        <w:shd w:fill="FFFFFF"/>
        <w:pStyle w:val=""/>
        <w:jc w:val="center"/>
        <w:spacing w:before="0" w:after="0" w:line="315" w:lineRule="atLeast"/>
        <w:rPr>
          <w:b/>
          <w:color w:val="000000"/>
          <w:rFonts w:ascii="华文中宋" w:hAnsi="华文中宋"/>
          <w:sz w:val="52"/>
          <w:szCs w:val="52"/>
          <w:shd w:fill="FFFFFF"/>
        </w:rPr>
      </w:pPr>
    </w:p>
    <w:p>
      <w:pPr>
        <w:shd w:fill="FFFFFF"/>
        <w:pStyle w:val=""/>
        <w:jc w:val="center"/>
        <w:spacing w:before="0" w:after="0" w:line="315" w:lineRule="atLeast"/>
        <w:rPr>
          <w:b/>
          <w:color w:val="000000"/>
          <w:rFonts w:ascii="华文中宋" w:hAnsi="华文中宋"/>
          <w:sz w:val="52"/>
          <w:szCs w:val="52"/>
          <w:shd w:fill="FFFFFF"/>
        </w:rPr>
      </w:pPr>
    </w:p>
    <w:p>
      <w:pPr>
        <w:shd w:fill="FFFFFF"/>
        <w:pStyle w:val=""/>
        <w:jc w:val="center"/>
        <w:spacing w:before="0" w:after="0" w:line="600" w:lineRule="exact"/>
        <w:rPr>
          <w:color w:val="000000"/>
          <w:rFonts w:ascii="宋体" w:hAnsi="宋体"/>
          <w:sz w:val="44"/>
          <w:szCs w:val="44"/>
        </w:rPr>
      </w:pPr>
      <w:r>
        <w:rPr>
          <w:color w:val="000000"/>
          <w:rFonts w:ascii="黑体" w:hAnsi="宋体"/>
          <w:sz w:val="44"/>
          <w:szCs w:val="44"/>
          <w:shd w:fill="FFFFFF"/>
        </w:rPr>
        <w:t>第一部分 部门概况</w:t>
      </w:r>
    </w:p>
    <w:p>
      <w:pPr>
        <w:shd w:fill="FFFFFF"/>
        <w:pStyle w:val=""/>
        <w:jc w:val="center"/>
        <w:spacing w:before="0" w:after="0" w:line="600" w:lineRule="exact"/>
        <w:rPr>
          <w:color w:val="000000"/>
          <w:rFonts w:ascii="宋体" w:hAnsi="宋体"/>
        </w:rPr>
      </w:pPr>
      <w:r>
        <w:rPr>
          <w:color w:val="000000"/>
          <w:rFonts w:ascii="宋体" w:hAnsi="宋体"/>
          <w:shd w:fill="FFFFFF"/>
        </w:rPr>
        <w:t> </w:t>
      </w:r>
    </w:p>
    <w:p>
      <w:pPr>
        <w:shd w:fill="FFFFFF"/>
        <w:pStyle w:val=""/>
        <w:jc w:val="both"/>
        <w:ind w:firstLine="627"/>
        <w:spacing w:before="0" w:after="0" w:line="600" w:lineRule="exact"/>
        <w:rPr>
          <w:color w:val="000000"/>
          <w:rFonts w:ascii="宋体" w:hAnsi="宋体"/>
          <w:sz w:val="32"/>
          <w:szCs w:val="32"/>
        </w:rPr>
      </w:pPr>
      <w:r>
        <w:rPr>
          <w:color w:val="000000"/>
          <w:rFonts w:ascii="黑体" w:hAnsi="宋体"/>
          <w:sz w:val="32"/>
          <w:szCs w:val="32"/>
          <w:shd w:fill="FFFFFF"/>
        </w:rPr>
        <w:t>一、主要职责</w:t>
      </w:r>
    </w:p>
    <w:p>
      <w:pPr>
        <w:pStyle w:val=""/>
        <w:ind w:firstLine="640"/>
        <w:spacing w:line="560" w:lineRule="exact"/>
        <w:rPr>
          <w:color w:val="000000"/>
          <w:rFonts w:ascii="仿宋_GB2312" w:hAnsi="仿宋_GB2312"/>
          <w:sz w:val="32"/>
          <w:szCs w:val="32"/>
        </w:rPr>
      </w:pPr>
      <w:r>
        <w:rPr>
          <w:color w:val="000000"/>
          <w:rFonts w:ascii="仿宋_GB2312" w:hAnsi="仿宋_GB2312"/>
          <w:sz w:val="32"/>
          <w:szCs w:val="32"/>
        </w:rPr>
        <w:t>烈山区财政局是政府综合经济管理部门，其主要职责</w:t>
      </w:r>
      <w:r>
        <w:rPr>
          <w:color w:val="000000"/>
          <w:rFonts w:ascii="仿宋_GB2312" w:hAnsi="仿宋_GB2312"/>
          <w:sz w:val="32"/>
          <w:szCs w:val="32"/>
        </w:rPr>
        <w:t>是</w:t>
      </w:r>
      <w:r>
        <w:rPr>
          <w:color w:val="000000"/>
          <w:rFonts w:ascii="仿宋_GB2312" w:hAnsi="仿宋_GB2312"/>
          <w:sz w:val="32"/>
          <w:szCs w:val="32"/>
        </w:rPr>
        <w:t xml:space="preserve">： </w:t>
      </w:r>
    </w:p>
    <w:p>
      <w:pPr>
        <w:pStyle w:val=""/>
        <w:ind w:firstLine="640"/>
        <w:spacing w:line="560" w:lineRule="exact"/>
        <w:rPr>
          <w:color w:val="000000"/>
          <w:rFonts w:ascii="仿宋_GB2312" w:hAnsi="仿宋_GB2312"/>
          <w:sz w:val="32"/>
          <w:szCs w:val="32"/>
        </w:rPr>
      </w:pPr>
      <w:r>
        <w:rPr>
          <w:color w:val="000000"/>
          <w:rFonts w:ascii="仿宋_GB2312" w:hAnsi="仿宋_GB2312"/>
          <w:sz w:val="32"/>
          <w:szCs w:val="32"/>
        </w:rPr>
        <w:t xml:space="preserve"> 1、</w:t>
      </w:r>
      <w:r>
        <w:rPr>
          <w:color w:val="000000"/>
          <w:rFonts w:ascii="仿宋_GB2312" w:hAnsi="仿宋_GB2312"/>
          <w:sz w:val="32"/>
          <w:szCs w:val="32"/>
        </w:rPr>
        <w:t>贯彻执行财政、财务和国有资产监管的法律法规、规章制度，依法理财、依法行政。拟订全区财政发展规划、政策和改革方案并组织实施。分析预测宏观经济形势，参与拟订经济发展政策，推进经济和社会稳定发展。拟订区与镇（街道办事处)、政府与企业的分配政策，完善鼓励公益事业发展的财税政策。</w:t>
      </w:r>
    </w:p>
    <w:p>
      <w:pPr>
        <w:pStyle w:val=""/>
        <w:ind w:firstLine="640"/>
        <w:spacing w:line="560" w:lineRule="exact"/>
        <w:rPr>
          <w:color w:val="000000"/>
          <w:rFonts w:ascii="仿宋_GB2312" w:hAnsi="仿宋_GB2312"/>
          <w:sz w:val="32"/>
          <w:szCs w:val="32"/>
        </w:rPr>
      </w:pPr>
      <w:r>
        <w:rPr>
          <w:color w:val="000000"/>
          <w:rFonts w:ascii="仿宋_GB2312" w:hAnsi="仿宋_GB2312"/>
          <w:sz w:val="32"/>
          <w:szCs w:val="32"/>
        </w:rPr>
        <w:t>2、</w:t>
      </w:r>
      <w:r>
        <w:rPr>
          <w:color w:val="000000"/>
          <w:rFonts w:ascii="仿宋_GB2312" w:hAnsi="仿宋_GB2312"/>
          <w:sz w:val="32"/>
          <w:szCs w:val="32"/>
        </w:rPr>
        <w:t>负责管理全区财政收支。编制年度区级财政预决算草案并组织执行。组织制定经费开支标准、定额，审核批复部门(单</w:t>
      </w:r>
      <w:r>
        <w:rPr>
          <w:color w:val="000000"/>
          <w:rFonts w:ascii="仿宋_GB2312" w:hAnsi="仿宋_GB2312"/>
          <w:sz w:val="32"/>
          <w:szCs w:val="32"/>
        </w:rPr>
        <w:t>位）的年度预决算。受区政府委托，向区人民代表大会及其常委会报告财政预算、执行和决算等情况。负责政府投资基金区级财政出资的资产管理。完善区对镇（街道）转移支付制度和财政体制。负责区级预决算公开。指导镇（街道）财政工作。</w:t>
      </w:r>
    </w:p>
    <w:p>
      <w:pPr>
        <w:pStyle w:val=""/>
        <w:jc w:val="both"/>
        <w:ind w:firstLine="640"/>
        <w:pageBreakBefore w:val="0"/>
        <w:spacing w:line="560" w:lineRule="atLeast"/>
        <w:rPr>
          <w:color w:val="000000"/>
          <w:rFonts w:ascii="仿宋_GB2312" w:hAnsi="仿宋_GB2312"/>
          <w:sz w:val="32"/>
          <w:szCs w:val="32"/>
        </w:rPr>
      </w:pPr>
      <w:r>
        <w:rPr>
          <w:color w:val="000000"/>
          <w:rFonts w:ascii="仿宋_GB2312" w:hAnsi="仿宋_GB2312"/>
          <w:sz w:val="32"/>
          <w:szCs w:val="32"/>
        </w:rPr>
        <w:t>3、</w:t>
      </w:r>
      <w:r>
        <w:rPr>
          <w:color w:val="000000"/>
          <w:rFonts w:ascii="仿宋_GB2312" w:hAnsi="仿宋_GB2312"/>
          <w:sz w:val="32"/>
          <w:szCs w:val="32"/>
        </w:rPr>
        <w:t>按分工负责政府非税收入管理。负责政府性基金管理，按规定管理行政事业性收费。管理财政票据。按规定监督管理彩票资金。</w:t>
      </w:r>
    </w:p>
    <w:p>
      <w:pPr>
        <w:pStyle w:val=""/>
        <w:jc w:val="both"/>
        <w:ind w:firstLine="640"/>
        <w:pageBreakBefore w:val="0"/>
        <w:spacing w:line="560" w:lineRule="atLeast"/>
        <w:rPr>
          <w:color w:val="000000"/>
          <w:rFonts w:ascii="仿宋_GB2312" w:hAnsi="仿宋_GB2312"/>
          <w:sz w:val="32"/>
          <w:szCs w:val="32"/>
        </w:rPr>
      </w:pPr>
      <w:r>
        <w:rPr>
          <w:color w:val="000000"/>
          <w:rFonts w:ascii="仿宋_GB2312" w:hAnsi="仿宋_GB2312"/>
          <w:sz w:val="32"/>
          <w:szCs w:val="32"/>
        </w:rPr>
        <w:t>4、</w:t>
      </w:r>
      <w:r>
        <w:rPr>
          <w:color w:val="000000"/>
          <w:rFonts w:ascii="仿宋_GB2312" w:hAnsi="仿宋_GB2312"/>
          <w:sz w:val="32"/>
          <w:szCs w:val="32"/>
        </w:rPr>
        <w:t>组织制定国库管理、国库集中收付相关制度办法，指导和监督区级国库业务，按规定开展区级国库现金管理工作。组织实施政府财务报告编制。组织实施政府采购制度，监督管理政府采购工作。</w:t>
      </w:r>
    </w:p>
    <w:p>
      <w:pPr>
        <w:pStyle w:val=""/>
        <w:jc w:val="both"/>
        <w:ind w:firstLine="640"/>
        <w:pageBreakBefore w:val="0"/>
        <w:spacing w:line="560" w:lineRule="atLeast"/>
        <w:rPr>
          <w:color w:val="000000"/>
          <w:rFonts w:ascii="仿宋_GB2312" w:hAnsi="仿宋_GB2312"/>
          <w:sz w:val="32"/>
          <w:szCs w:val="32"/>
        </w:rPr>
      </w:pPr>
      <w:r>
        <w:rPr>
          <w:color w:val="000000"/>
          <w:rFonts w:ascii="仿宋_GB2312" w:hAnsi="仿宋_GB2312"/>
          <w:sz w:val="32"/>
          <w:szCs w:val="32"/>
        </w:rPr>
        <w:t xml:space="preserve"> 5、</w:t>
      </w:r>
      <w:r>
        <w:rPr>
          <w:color w:val="000000"/>
          <w:rFonts w:ascii="仿宋_GB2312" w:hAnsi="仿宋_GB2312"/>
          <w:sz w:val="32"/>
          <w:szCs w:val="32"/>
        </w:rPr>
        <w:t>执行政府债务管理制度和政策。负责管理全区政府债务，依法制定政府债务管理制度和办法。按规定统一管理全区政府外债相关工作。</w:t>
      </w:r>
    </w:p>
    <w:p>
      <w:pPr>
        <w:pStyle w:val=""/>
        <w:jc w:val="both"/>
        <w:ind w:firstLine="640"/>
        <w:pageBreakBefore w:val="0"/>
        <w:spacing w:line="560" w:lineRule="atLeast"/>
        <w:rPr>
          <w:color w:val="000000"/>
          <w:rFonts w:ascii="仿宋_GB2312" w:hAnsi="仿宋_GB2312"/>
          <w:sz w:val="32"/>
          <w:szCs w:val="32"/>
        </w:rPr>
      </w:pPr>
      <w:r>
        <w:rPr>
          <w:color w:val="000000"/>
          <w:rFonts w:ascii="仿宋_GB2312" w:hAnsi="仿宋_GB2312"/>
          <w:sz w:val="32"/>
          <w:szCs w:val="32"/>
        </w:rPr>
        <w:t xml:space="preserve"> 6、</w:t>
      </w:r>
      <w:r>
        <w:rPr>
          <w:color w:val="000000"/>
          <w:rFonts w:ascii="仿宋_GB2312" w:hAnsi="仿宋_GB2312"/>
          <w:sz w:val="32"/>
          <w:szCs w:val="32"/>
        </w:rPr>
        <w:t>负责全区社会保险基金监管工作。会同有关部门拟订社保资金财务管理相关制度办法。</w:t>
      </w:r>
    </w:p>
    <w:p>
      <w:pPr>
        <w:pStyle w:val=""/>
        <w:jc w:val="both"/>
        <w:ind w:firstLine="640"/>
        <w:pageBreakBefore w:val="0"/>
        <w:spacing w:line="560" w:lineRule="atLeast"/>
        <w:rPr>
          <w:color w:val="000000"/>
          <w:rFonts w:ascii="仿宋_GB2312" w:hAnsi="仿宋_GB2312"/>
          <w:sz w:val="32"/>
          <w:szCs w:val="32"/>
        </w:rPr>
      </w:pPr>
      <w:r>
        <w:rPr>
          <w:color w:val="000000"/>
          <w:rFonts w:ascii="仿宋_GB2312" w:hAnsi="仿宋_GB2312"/>
          <w:sz w:val="32"/>
          <w:szCs w:val="32"/>
        </w:rPr>
        <w:t xml:space="preserve"> 7、</w:t>
      </w:r>
      <w:r>
        <w:rPr>
          <w:color w:val="000000"/>
          <w:rFonts w:ascii="仿宋_GB2312" w:hAnsi="仿宋_GB2312"/>
          <w:sz w:val="32"/>
          <w:szCs w:val="32"/>
        </w:rPr>
        <w:t>负责办理和监督区级财政的经济社会发展支出、区级政府性投资项目的财政拨款，参与拟订区级基建投资有关政策，制定基建财务管理相关制度办法。</w:t>
      </w:r>
    </w:p>
    <w:p>
      <w:pPr>
        <w:pStyle w:val=""/>
        <w:jc w:val="both"/>
        <w:ind w:firstLine="640"/>
        <w:pageBreakBefore w:val="0"/>
        <w:spacing w:line="560" w:lineRule="atLeast"/>
        <w:rPr>
          <w:color w:val="000000"/>
          <w:rFonts w:ascii="仿宋_GB2312" w:hAnsi="仿宋_GB2312"/>
          <w:sz w:val="32"/>
          <w:szCs w:val="32"/>
        </w:rPr>
      </w:pPr>
      <w:r>
        <w:rPr>
          <w:color w:val="000000"/>
          <w:rFonts w:ascii="仿宋_GB2312" w:hAnsi="仿宋_GB2312"/>
          <w:sz w:val="32"/>
          <w:szCs w:val="32"/>
        </w:rPr>
        <w:t xml:space="preserve"> 8、</w:t>
      </w:r>
      <w:r>
        <w:rPr>
          <w:color w:val="000000"/>
          <w:rFonts w:ascii="仿宋_GB2312" w:hAnsi="仿宋_GB2312"/>
          <w:sz w:val="32"/>
          <w:szCs w:val="32"/>
        </w:rPr>
        <w:t>牵头</w:t>
      </w:r>
      <w:r>
        <w:rPr>
          <w:color w:val="000000"/>
          <w:rFonts w:ascii="仿宋_GB2312" w:hAnsi="仿宋_GB2312"/>
          <w:sz w:val="32"/>
          <w:szCs w:val="32"/>
        </w:rPr>
        <w:t>编制国有资产管理情况报告。负责拟订行政事业单位国有资产管理规章制度并组织实施。</w:t>
      </w:r>
    </w:p>
    <w:p>
      <w:pPr>
        <w:pStyle w:val=""/>
        <w:jc w:val="both"/>
        <w:ind w:firstLine="640"/>
        <w:pageBreakBefore w:val="0"/>
        <w:spacing w:line="560" w:lineRule="atLeast"/>
        <w:rPr>
          <w:color w:val="000000"/>
          <w:rFonts w:ascii="仿宋_GB2312" w:hAnsi="仿宋_GB2312"/>
          <w:sz w:val="32"/>
          <w:szCs w:val="32"/>
        </w:rPr>
      </w:pPr>
      <w:r>
        <w:rPr>
          <w:color w:val="000000"/>
          <w:rFonts w:ascii="仿宋_GB2312" w:hAnsi="仿宋_GB2312"/>
          <w:sz w:val="32"/>
          <w:szCs w:val="32"/>
        </w:rPr>
        <w:t>9、</w:t>
      </w:r>
      <w:r>
        <w:rPr>
          <w:color w:val="000000"/>
          <w:rFonts w:ascii="仿宋_GB2312" w:hAnsi="仿宋_GB2312"/>
          <w:sz w:val="32"/>
          <w:szCs w:val="32"/>
        </w:rPr>
        <w:t>执行国有资本经营预算的制度和办法，负责审</w:t>
      </w:r>
      <w:r>
        <w:rPr>
          <w:color w:val="000000"/>
          <w:rFonts w:ascii="仿宋_GB2312" w:hAnsi="仿宋_GB2312"/>
          <w:sz w:val="32"/>
          <w:szCs w:val="32"/>
        </w:rPr>
        <w:t>核</w:t>
      </w:r>
      <w:r>
        <w:rPr>
          <w:color w:val="000000"/>
          <w:rFonts w:ascii="仿宋_GB2312" w:hAnsi="仿宋_GB2312"/>
          <w:sz w:val="32"/>
          <w:szCs w:val="32"/>
        </w:rPr>
        <w:t>并汇总编制全区国有资本经营预决算草案，组织区属企业上缴国有资本收益。组织实施企业财务制度。</w:t>
      </w:r>
    </w:p>
    <w:p>
      <w:pPr>
        <w:pStyle w:val=""/>
        <w:jc w:val="both"/>
        <w:ind w:firstLine="640"/>
        <w:pageBreakBefore w:val="0"/>
        <w:spacing w:line="560" w:lineRule="atLeast"/>
        <w:rPr>
          <w:color w:val="000000"/>
          <w:rFonts w:ascii="仿宋_GB2312" w:hAnsi="仿宋_GB2312"/>
          <w:sz w:val="32"/>
          <w:szCs w:val="32"/>
        </w:rPr>
      </w:pPr>
      <w:r>
        <w:rPr>
          <w:color w:val="000000"/>
          <w:rFonts w:ascii="仿宋_GB2312" w:hAnsi="仿宋_GB2312"/>
          <w:sz w:val="32"/>
          <w:szCs w:val="32"/>
        </w:rPr>
        <w:t>10、</w:t>
      </w:r>
      <w:r>
        <w:rPr>
          <w:color w:val="000000"/>
          <w:rFonts w:ascii="仿宋_GB2312" w:hAnsi="仿宋_GB2312"/>
          <w:sz w:val="32"/>
          <w:szCs w:val="32"/>
        </w:rPr>
        <w:t>负责管理全区会计工作，监督和规范会计行为。组织实施国家统一的会计制度。</w:t>
      </w:r>
    </w:p>
    <w:p>
      <w:pPr>
        <w:pStyle w:val=""/>
        <w:jc w:val="both"/>
        <w:ind w:firstLine="640"/>
        <w:pageBreakBefore w:val="0"/>
        <w:spacing w:line="560" w:lineRule="atLeast"/>
        <w:rPr>
          <w:color w:val="000000"/>
          <w:rFonts w:ascii="仿宋_GB2312" w:hAnsi="仿宋_GB2312"/>
          <w:sz w:val="32"/>
          <w:szCs w:val="32"/>
        </w:rPr>
      </w:pPr>
      <w:r>
        <w:rPr>
          <w:color w:val="000000"/>
          <w:rFonts w:ascii="仿宋_GB2312" w:hAnsi="仿宋_GB2312"/>
          <w:sz w:val="32"/>
          <w:szCs w:val="32"/>
        </w:rPr>
        <w:t xml:space="preserve"> 11、</w:t>
      </w:r>
      <w:r>
        <w:rPr>
          <w:color w:val="000000"/>
          <w:rFonts w:ascii="仿宋_GB2312" w:hAnsi="仿宋_GB2312"/>
          <w:sz w:val="32"/>
          <w:szCs w:val="32"/>
        </w:rPr>
        <w:t>按照区政府授权，依法监管区属企业的国有资产，拟定区属企业国有资产管理的相关规章、制度并组织实施。建立和完善国有资产保值增值指标体系，制订考核标准，对区属企业国有资产的保值增值情况进行监管。指导区属企业收入分配改革</w:t>
      </w:r>
      <w:r>
        <w:rPr>
          <w:color w:val="000000"/>
          <w:rFonts w:ascii="仿宋_GB2312" w:hAnsi="仿宋_GB2312"/>
          <w:sz w:val="32"/>
          <w:szCs w:val="32"/>
        </w:rPr>
        <w:t>，</w:t>
      </w:r>
      <w:r>
        <w:rPr>
          <w:color w:val="000000"/>
          <w:rFonts w:ascii="仿宋_GB2312" w:hAnsi="仿宋_GB2312"/>
          <w:sz w:val="32"/>
          <w:szCs w:val="32"/>
        </w:rPr>
        <w:t>完善经营者激励和约束制度，对所监管区属企业负责人进行考核并根据其经营业绩实施奖惩。指导推进区属企业改革和重组，推进区属企业的现代企业制度建设，完善公司治理结构，推动国有经济布局和结构的战略性调整。按照干部管理权限，负责区属国有企业人事任免相关工作</w:t>
      </w:r>
      <w:r>
        <w:rPr>
          <w:color w:val="000000"/>
          <w:rFonts w:ascii="仿宋_GB2312" w:hAnsi="仿宋_GB2312"/>
          <w:sz w:val="32"/>
          <w:szCs w:val="32"/>
        </w:rPr>
        <w:t>。</w:t>
      </w:r>
    </w:p>
    <w:p>
      <w:pPr>
        <w:pStyle w:val=""/>
        <w:jc w:val="both"/>
        <w:ind w:firstLine="640"/>
        <w:pageBreakBefore w:val="0"/>
        <w:spacing w:line="560" w:lineRule="atLeast"/>
        <w:rPr>
          <w:color w:val="000000"/>
          <w:rFonts w:ascii="仿宋_GB2312" w:hAnsi="仿宋_GB2312"/>
          <w:sz w:val="32"/>
          <w:szCs w:val="32"/>
        </w:rPr>
      </w:pPr>
      <w:r>
        <w:rPr>
          <w:color w:val="000000"/>
          <w:rFonts w:ascii="仿宋_GB2312" w:hAnsi="仿宋_GB2312"/>
          <w:sz w:val="32"/>
          <w:szCs w:val="32"/>
        </w:rPr>
        <w:t>12、</w:t>
      </w:r>
      <w:r>
        <w:rPr>
          <w:color w:val="000000"/>
          <w:rFonts w:ascii="仿宋_GB2312" w:hAnsi="仿宋_GB2312"/>
          <w:sz w:val="32"/>
          <w:szCs w:val="32"/>
        </w:rPr>
        <w:t>贯彻执行国家金融工作政策规划和法律法规规章。拟定全区金融行业发展中长期规划和政策措施并组织实施。研究分析国家金融政策、宏观金融形势和全区金融运行情况，提出改善金融发展环境、促进金融行业发展的建议，协调推动地方金融改革发展。</w:t>
      </w:r>
    </w:p>
    <w:p>
      <w:pPr>
        <w:pStyle w:val=""/>
        <w:jc w:val="both"/>
        <w:ind w:firstLine="640"/>
        <w:pageBreakBefore w:val="0"/>
        <w:spacing w:line="560" w:lineRule="atLeast"/>
        <w:rPr>
          <w:color w:val="000000"/>
          <w:rFonts w:ascii="仿宋_GB2312" w:hAnsi="仿宋_GB2312"/>
          <w:sz w:val="32"/>
          <w:szCs w:val="32"/>
        </w:rPr>
      </w:pPr>
      <w:r>
        <w:rPr>
          <w:color w:val="000000"/>
          <w:rFonts w:ascii="仿宋_GB2312" w:hAnsi="仿宋_GB2312"/>
          <w:sz w:val="32"/>
          <w:szCs w:val="32"/>
        </w:rPr>
        <w:t>13、</w:t>
      </w:r>
      <w:r>
        <w:rPr>
          <w:color w:val="000000"/>
          <w:rFonts w:ascii="仿宋_GB2312" w:hAnsi="仿宋_GB2312"/>
          <w:sz w:val="32"/>
          <w:szCs w:val="32"/>
        </w:rPr>
        <w:t>负责全区小额货款公司、融资担保公司、区域性股权市场、典当行、融资租赁公司、商业保理公司、地方资产管理</w:t>
      </w:r>
      <w:r>
        <w:rPr>
          <w:color w:val="000000"/>
          <w:rFonts w:ascii="仿宋_GB2312" w:hAnsi="仿宋_GB2312"/>
          <w:sz w:val="32"/>
          <w:szCs w:val="32"/>
        </w:rPr>
        <w:t>公司等机构的监督管理，指导监管投资公司、开展信用互助的农民专业合作社、社会众筹机构、地方各类交易场所等，承担地方金融监管有关考核评估、监督问责等具体工作。</w:t>
      </w:r>
    </w:p>
    <w:p>
      <w:pPr>
        <w:pStyle w:val=""/>
        <w:jc w:val="both"/>
        <w:ind w:firstLine="640"/>
        <w:pageBreakBefore w:val="0"/>
        <w:spacing w:line="560" w:lineRule="atLeast"/>
        <w:rPr>
          <w:color w:val="000000"/>
          <w:rFonts w:ascii="仿宋_GB2312" w:hAnsi="仿宋_GB2312"/>
          <w:sz w:val="32"/>
          <w:szCs w:val="32"/>
        </w:rPr>
      </w:pPr>
      <w:r>
        <w:rPr>
          <w:color w:val="000000"/>
          <w:rFonts w:ascii="仿宋_GB2312" w:hAnsi="仿宋_GB2312"/>
          <w:sz w:val="32"/>
          <w:szCs w:val="32"/>
        </w:rPr>
        <w:t>14、</w:t>
      </w:r>
      <w:r>
        <w:rPr>
          <w:color w:val="000000"/>
          <w:rFonts w:ascii="仿宋_GB2312" w:hAnsi="仿宋_GB2312"/>
          <w:sz w:val="32"/>
          <w:szCs w:val="32"/>
        </w:rPr>
        <w:t>负</w:t>
      </w:r>
      <w:r>
        <w:rPr>
          <w:color w:val="000000"/>
          <w:rFonts w:ascii="仿宋_GB2312" w:hAnsi="仿宋_GB2312"/>
          <w:sz w:val="32"/>
          <w:szCs w:val="32"/>
        </w:rPr>
        <w:t>责</w:t>
      </w:r>
      <w:r>
        <w:rPr>
          <w:color w:val="000000"/>
          <w:rFonts w:ascii="仿宋_GB2312" w:hAnsi="仿宋_GB2312"/>
          <w:sz w:val="32"/>
          <w:szCs w:val="32"/>
        </w:rPr>
        <w:t>地方金融风险防范和处置工作，会同有关部门防范、化解和处置地方金融风险，协调有关部门做好打击非法集资等工作，配合推进金融信用体系建设。</w:t>
      </w:r>
    </w:p>
    <w:p>
      <w:pPr>
        <w:pStyle w:val=""/>
        <w:jc w:val="both"/>
        <w:ind w:firstLine="640"/>
        <w:pageBreakBefore w:val="0"/>
        <w:spacing w:line="560" w:lineRule="atLeast"/>
        <w:rPr>
          <w:color w:val="000000"/>
          <w:rFonts w:ascii="仿宋_GB2312" w:hAnsi="仿宋_GB2312"/>
          <w:sz w:val="32"/>
          <w:szCs w:val="32"/>
        </w:rPr>
      </w:pPr>
      <w:r>
        <w:rPr>
          <w:color w:val="000000"/>
          <w:rFonts w:ascii="仿宋_GB2312" w:hAnsi="仿宋_GB2312"/>
          <w:sz w:val="32"/>
          <w:szCs w:val="32"/>
        </w:rPr>
        <w:t xml:space="preserve"> 15、</w:t>
      </w:r>
      <w:r>
        <w:rPr>
          <w:color w:val="000000"/>
          <w:rFonts w:ascii="仿宋_GB2312" w:hAnsi="仿宋_GB2312"/>
          <w:sz w:val="32"/>
          <w:szCs w:val="32"/>
        </w:rPr>
        <w:t>推进全区多层次资本市场建设与发展，协调推进企业上市（挂牌）和重组、 兼并、再融资工作。</w:t>
      </w:r>
    </w:p>
    <w:p>
      <w:pPr>
        <w:pStyle w:val=""/>
        <w:jc w:val="both"/>
        <w:ind w:firstLine="640"/>
        <w:pageBreakBefore w:val="0"/>
        <w:spacing w:line="560" w:lineRule="atLeast"/>
        <w:rPr>
          <w:color w:val="000000"/>
          <w:rFonts w:ascii="仿宋_GB2312" w:hAnsi="仿宋_GB2312"/>
          <w:sz w:val="32"/>
          <w:szCs w:val="32"/>
        </w:rPr>
      </w:pPr>
      <w:r>
        <w:rPr>
          <w:color w:val="000000"/>
          <w:rFonts w:ascii="仿宋_GB2312" w:hAnsi="仿宋_GB2312"/>
          <w:sz w:val="32"/>
          <w:szCs w:val="32"/>
        </w:rPr>
        <w:t>16、</w:t>
      </w:r>
      <w:r>
        <w:rPr>
          <w:color w:val="000000"/>
          <w:rFonts w:ascii="仿宋_GB2312" w:hAnsi="仿宋_GB2312"/>
          <w:sz w:val="32"/>
          <w:szCs w:val="32"/>
        </w:rPr>
        <w:t>承担驻烈金融机构和地方金融行业的协调服务工作，组织开展政府与金融机构合作、金融机构和企业对接，引导、协调和鼓励金融机构加大对全区经济社会发展的支持力度。按规定负责地方金融机构业绩评价等有关工作</w:t>
      </w:r>
      <w:r>
        <w:rPr>
          <w:color w:val="000000"/>
          <w:rFonts w:ascii="仿宋_GB2312" w:hAnsi="仿宋_GB2312"/>
          <w:sz w:val="32"/>
          <w:szCs w:val="32"/>
        </w:rPr>
        <w:t>。</w:t>
      </w:r>
    </w:p>
    <w:p>
      <w:pPr>
        <w:pStyle w:val=""/>
        <w:ind w:firstLine="320"/>
        <w:spacing w:line="560" w:lineRule="exact"/>
        <w:rPr>
          <w:color w:val="000000"/>
          <w:rFonts w:ascii="仿宋_GB2312" w:hAnsi="仿宋_GB2312"/>
          <w:sz w:val="32"/>
          <w:szCs w:val="32"/>
        </w:rPr>
      </w:pPr>
      <w:r>
        <w:rPr>
          <w:color w:val="000000"/>
          <w:rFonts w:ascii="仿宋_GB2312" w:hAnsi="仿宋_GB2312"/>
          <w:sz w:val="32"/>
          <w:szCs w:val="32"/>
        </w:rPr>
        <w:t xml:space="preserve"> 17、</w:t>
      </w:r>
      <w:r>
        <w:rPr>
          <w:color w:val="000000"/>
          <w:rFonts w:ascii="仿宋_GB2312" w:hAnsi="仿宋_GB2312"/>
          <w:sz w:val="32"/>
          <w:szCs w:val="32"/>
        </w:rPr>
        <w:t>负责牵头区民生工程工作。组织拟订民生工程实施方</w:t>
      </w:r>
      <w:r>
        <w:rPr>
          <w:color w:val="000000"/>
          <w:rFonts w:ascii="仿宋_GB2312" w:hAnsi="仿宋_GB2312"/>
          <w:sz w:val="32"/>
          <w:szCs w:val="32"/>
        </w:rPr>
        <w:t>案</w:t>
      </w:r>
      <w:r>
        <w:rPr>
          <w:color w:val="000000"/>
          <w:rFonts w:ascii="仿宋_GB2312" w:hAnsi="仿宋_GB2312"/>
          <w:sz w:val="32"/>
          <w:szCs w:val="32"/>
        </w:rPr>
        <w:t>、相关政策及配套措施，组织民生工程资金监督检查和工作情况</w:t>
      </w:r>
      <w:r>
        <w:rPr>
          <w:color w:val="000000"/>
          <w:rFonts w:ascii="仿宋_GB2312" w:hAnsi="仿宋_GB2312"/>
          <w:sz w:val="32"/>
          <w:szCs w:val="32"/>
        </w:rPr>
        <w:t>考核</w:t>
      </w:r>
      <w:r>
        <w:rPr>
          <w:color w:val="000000"/>
          <w:rFonts w:ascii="仿宋_GB2312" w:hAnsi="仿宋_GB2312"/>
          <w:sz w:val="32"/>
          <w:szCs w:val="32"/>
        </w:rPr>
        <w:t>。</w:t>
      </w:r>
      <w:r>
        <w:rPr>
          <w:color w:val="000000"/>
          <w:rFonts w:ascii="仿宋_GB2312" w:hAnsi="仿宋_GB2312"/>
          <w:sz w:val="32"/>
          <w:szCs w:val="32"/>
        </w:rPr>
        <w:t>承</w:t>
      </w:r>
      <w:r>
        <w:rPr>
          <w:color w:val="000000"/>
          <w:rFonts w:ascii="仿宋_GB2312" w:hAnsi="仿宋_GB2312"/>
          <w:sz w:val="32"/>
          <w:szCs w:val="32"/>
        </w:rPr>
        <w:t>担区民生工作领导小组办公室日常工作。负责财政部门承担的民生工程的具体工作。</w:t>
      </w:r>
    </w:p>
    <w:p>
      <w:pPr>
        <w:pStyle w:val=""/>
        <w:ind w:firstLine="320"/>
        <w:spacing w:line="560" w:lineRule="exact"/>
        <w:rPr>
          <w:color w:val="000000"/>
          <w:rFonts w:ascii="仿宋_GB2312" w:hAnsi="仿宋_GB2312"/>
          <w:sz w:val="32"/>
          <w:szCs w:val="32"/>
        </w:rPr>
      </w:pPr>
      <w:r>
        <w:rPr>
          <w:color w:val="000000"/>
          <w:rFonts w:ascii="仿宋_GB2312" w:hAnsi="仿宋_GB2312"/>
          <w:sz w:val="32"/>
          <w:szCs w:val="32"/>
        </w:rPr>
        <w:t xml:space="preserve"> 18、</w:t>
      </w:r>
      <w:r>
        <w:rPr>
          <w:color w:val="000000"/>
          <w:rFonts w:ascii="仿宋_GB2312" w:hAnsi="仿宋_GB2312"/>
          <w:sz w:val="32"/>
          <w:szCs w:val="32"/>
        </w:rPr>
        <w:t>完成区委、区政府交办的其他任务。</w:t>
      </w:r>
    </w:p>
    <w:p>
      <w:pPr>
        <w:pStyle w:val=""/>
        <w:ind w:firstLine="320"/>
        <w:spacing w:line="560" w:lineRule="exact"/>
        <w:rPr>
          <w:color w:val="000000"/>
          <w:rFonts w:ascii="仿宋_GB2312" w:hAnsi="仿宋_GB2312"/>
          <w:sz w:val="32"/>
          <w:szCs w:val="32"/>
        </w:rPr>
      </w:pPr>
      <w:r>
        <w:rPr>
          <w:color w:val="000000"/>
          <w:rFonts w:ascii="仿宋_GB2312" w:hAnsi="仿宋_GB2312"/>
          <w:sz w:val="32"/>
          <w:szCs w:val="32"/>
        </w:rPr>
        <w:t xml:space="preserve"> 19、</w:t>
      </w:r>
      <w:r>
        <w:rPr>
          <w:color w:val="000000"/>
          <w:rFonts w:ascii="仿宋_GB2312" w:hAnsi="仿宋_GB2312"/>
          <w:sz w:val="32"/>
          <w:szCs w:val="32"/>
        </w:rPr>
        <w:t>职能转变。</w:t>
      </w:r>
    </w:p>
    <w:p>
      <w:pPr>
        <w:pStyle w:val=""/>
        <w:ind w:firstLine="320"/>
        <w:spacing w:line="560" w:lineRule="exact"/>
        <w:rPr>
          <w:color w:val="000000"/>
          <w:rFonts w:ascii="仿宋_GB2312" w:hAnsi="仿宋_GB2312"/>
          <w:sz w:val="32"/>
          <w:szCs w:val="32"/>
        </w:rPr>
      </w:pPr>
      <w:r>
        <w:rPr>
          <w:color w:val="000000"/>
          <w:rFonts w:ascii="仿宋_GB2312" w:hAnsi="仿宋_GB2312"/>
          <w:sz w:val="32"/>
          <w:szCs w:val="32"/>
        </w:rPr>
        <w:t>(1)</w:t>
      </w:r>
      <w:r>
        <w:rPr>
          <w:color w:val="000000"/>
          <w:rFonts w:ascii="仿宋_GB2312" w:hAnsi="仿宋_GB2312"/>
          <w:sz w:val="32"/>
          <w:szCs w:val="32"/>
        </w:rPr>
        <w:t>完善宏观调控体系，创新调控方式，构建发展规划财政、金融等政策协调和工作协同机制，强化经济监测预测预警能力，建立健全重大问题研究和政策储备工作机制，增强宏观调控前瞻性、 针对性、协同性。</w:t>
      </w:r>
    </w:p>
    <w:p>
      <w:pPr>
        <w:pStyle w:val=""/>
        <w:ind w:firstLine="320"/>
        <w:spacing w:line="560" w:lineRule="exact"/>
        <w:rPr>
          <w:color w:val="000000"/>
          <w:rFonts w:ascii="仿宋_GB2312" w:hAnsi="仿宋_GB2312"/>
          <w:sz w:val="32"/>
          <w:szCs w:val="32"/>
        </w:rPr>
      </w:pPr>
      <w:r>
        <w:rPr>
          <w:color w:val="000000"/>
          <w:rFonts w:ascii="仿宋_GB2312" w:hAnsi="仿宋_GB2312"/>
          <w:sz w:val="32"/>
          <w:szCs w:val="32"/>
        </w:rPr>
        <w:t>（2）深化地方财税体制改革。加快建立现代财政制度，健全区与镇（街道）财力与事权相匹配、事权与支出责任相适应的体制和制度，建立权责清晰、财力协调、区域均衡的财政关系</w:t>
      </w:r>
      <w:r>
        <w:rPr>
          <w:color w:val="000000"/>
          <w:rFonts w:ascii="仿宋_GB2312" w:hAnsi="仿宋_GB2312"/>
          <w:sz w:val="32"/>
          <w:szCs w:val="32"/>
        </w:rPr>
        <w:t>。</w:t>
      </w:r>
      <w:r>
        <w:rPr>
          <w:color w:val="000000"/>
          <w:rFonts w:ascii="仿宋_GB2312" w:hAnsi="仿宋_GB2312"/>
          <w:sz w:val="32"/>
          <w:szCs w:val="32"/>
        </w:rPr>
        <w:t>完善转移支付制度，优化转移支付分类，规范转移支付项目，增强区财政统筹能力。逐步统一预算分配，全面实施绩效管理，建立全面规范透明、标准科学、约束有力的预算制度。</w:t>
      </w:r>
    </w:p>
    <w:p>
      <w:pPr>
        <w:pStyle w:val=""/>
        <w:ind w:firstLine="320"/>
        <w:spacing w:line="560" w:lineRule="exact"/>
        <w:rPr>
          <w:color w:val="000000"/>
          <w:rFonts w:ascii="仿宋_GB2312" w:hAnsi="仿宋_GB2312"/>
          <w:szCs w:val="32"/>
        </w:rPr>
      </w:pPr>
      <w:r>
        <w:rPr>
          <w:color w:val="000000"/>
          <w:rFonts w:ascii="仿宋_GB2312" w:hAnsi="仿宋_GB2312"/>
          <w:sz w:val="32"/>
          <w:szCs w:val="32"/>
        </w:rPr>
        <w:t xml:space="preserve"> </w:t>
      </w:r>
      <w:r>
        <w:rPr>
          <w:color w:val="000000"/>
          <w:rFonts w:ascii="仿宋_GB2312" w:hAnsi="仿宋_GB2312"/>
          <w:sz w:val="32"/>
          <w:szCs w:val="32"/>
        </w:rPr>
        <w:t>（3）防范化解政府债务风险。规范举债融资机制，构建“闭环”管理体系，强化政府债务风险管理，着力防控地方政府隐性债务风险，牢牢守住不发生系统性风险的底线。</w:t>
      </w:r>
    </w:p>
    <w:p>
      <w:pPr>
        <w:shd w:fill="FFFFFF"/>
        <w:pStyle w:val=""/>
        <w:jc w:val="both"/>
        <w:ind w:firstLine="627"/>
        <w:spacing w:before="0" w:after="0" w:line="600" w:lineRule="exact"/>
        <w:rPr>
          <w:color w:val="000000"/>
          <w:rFonts w:ascii="宋体" w:hAnsi="宋体"/>
          <w:sz w:val="32"/>
          <w:szCs w:val="32"/>
        </w:rPr>
      </w:pPr>
      <w:r>
        <w:rPr>
          <w:color w:val="000000"/>
          <w:rFonts w:ascii="黑体" w:hAnsi="宋体"/>
          <w:sz w:val="32"/>
          <w:szCs w:val="32"/>
          <w:shd w:fill="FFFFFF"/>
        </w:rPr>
        <w:t>二、部门预算单位构成</w:t>
      </w:r>
    </w:p>
    <w:p>
      <w:pPr>
        <w:shd w:fill="FFFFFF"/>
        <w:pStyle w:val=""/>
        <w:jc w:val="both"/>
        <w:ind w:firstLine="627"/>
        <w:spacing w:before="0" w:after="0" w:line="600" w:lineRule="exact"/>
        <w:rPr>
          <w:color w:val="000000"/>
          <w:rFonts w:ascii="仿宋" w:hAnsi="仿宋"/>
          <w:sz w:val="32"/>
          <w:szCs w:val="32"/>
        </w:rPr>
      </w:pPr>
      <w:r>
        <w:rPr>
          <w:color w:val="000000"/>
          <w:rFonts w:ascii="仿宋" w:hAnsi="仿宋"/>
          <w:sz w:val="32"/>
          <w:szCs w:val="32"/>
          <w:shd w:fill="FFFFFF"/>
        </w:rPr>
        <w:t>从预算单位构成看，烈山区财政局</w:t>
      </w:r>
      <w:r>
        <w:rPr>
          <w:color w:val="000000"/>
          <w:rFonts w:ascii="仿宋" w:hAnsi="仿宋"/>
          <w:sz w:val="32"/>
          <w:szCs w:val="32"/>
          <w:shd w:fill="FFFFFF"/>
        </w:rPr>
        <w:t>2023</w:t>
      </w:r>
      <w:r>
        <w:rPr>
          <w:color w:val="000000"/>
          <w:rFonts w:ascii="仿宋" w:hAnsi="仿宋"/>
          <w:sz w:val="32"/>
          <w:szCs w:val="32"/>
          <w:shd w:fill="FFFFFF"/>
        </w:rPr>
        <w:t>年度部门预算包括局本级预算</w:t>
      </w:r>
      <w:r>
        <w:rPr>
          <w:color w:val="000000"/>
          <w:rFonts w:ascii="仿宋" w:hAnsi="仿宋"/>
          <w:sz w:val="32"/>
          <w:szCs w:val="32"/>
          <w:shd w:fill="FFFFFF"/>
        </w:rPr>
        <w:t>，</w:t>
      </w:r>
      <w:r>
        <w:rPr>
          <w:color w:val="000000"/>
          <w:rFonts w:ascii="仿宋" w:hAnsi="仿宋"/>
          <w:sz w:val="32"/>
          <w:szCs w:val="32"/>
          <w:shd w:fill="FFFFFF"/>
        </w:rPr>
        <w:t>纳入部门预算编制范围的单位共</w:t>
      </w:r>
      <w:r>
        <w:rPr>
          <w:color w:val="000000"/>
          <w:rFonts w:ascii="仿宋" w:hAnsi="仿宋"/>
          <w:sz w:val="32"/>
          <w:szCs w:val="32"/>
          <w:shd w:fill="FFFFFF"/>
        </w:rPr>
        <w:t>1</w:t>
      </w:r>
      <w:r>
        <w:rPr>
          <w:color w:val="000000"/>
          <w:rFonts w:ascii="仿宋" w:hAnsi="仿宋"/>
          <w:sz w:val="32"/>
          <w:szCs w:val="32"/>
          <w:shd w:fill="FFFFFF"/>
        </w:rPr>
        <w:t>个，具体情况见下表。</w:t>
      </w:r>
    </w:p>
    <w:tbl>
      <w:tblPr>
        <w:tblInd w:w="-108" w:type="dxa"/>
        <w:tblStyle w:val="普通表格"/>
        <w:tblLook w:val="1E0"/>
        <w:tblW w:w="9000" w:type="dxa"/>
      </w:tblPr>
      <w:tblGrid>
        <w:gridCol w:w="900"/>
        <w:gridCol w:w="3600"/>
        <w:gridCol w:w="4500"/>
      </w:tblGrid>
      <w:tr>
        <w:trPr>
          <w:trHeight w:val="397" w:hRule="atLeast"/>
        </w:trPr>
        <w:tc>
          <w:tcPr>
            <w:tcBorders>
              <w:top w:val="single" w:sz="8" w:color="000000" w:space="0"/>
              <w:bottom w:val="single" w:sz="8" w:color="000000" w:space="0"/>
              <w:left w:val="single" w:sz="8" w:color="000000" w:space="0"/>
              <w:right w:val="single" w:sz="8" w:color="000000" w:space="0"/>
            </w:tcBorders>
            <w:shd w:fill="FFFFFF"/>
            <w:vAlign w:val="center"/>
            <w:tcW w:w="0" w:type="nil"/>
          </w:tcPr>
          <w:p>
            <w:pPr>
              <w:pStyle w:val=""/>
              <w:jc w:val="center"/>
              <w:spacing w:before="0" w:after="0" w:line="600" w:lineRule="exact"/>
            </w:pPr>
            <w:r>
              <w:rPr>
                <w:color w:val="000000"/>
                <w:rFonts w:ascii="仿宋" w:hAnsi="仿宋"/>
                <w:sz w:val="32"/>
                <w:szCs w:val="32"/>
              </w:rPr>
              <w:t>序号</w:t>
            </w:r>
          </w:p>
        </w:tc>
        <w:tc>
          <w:tcPr>
            <w:tcBorders>
              <w:top w:val="single" w:sz="8" w:color="000000" w:space="0"/>
              <w:bottom w:val="single" w:sz="8" w:color="000000" w:space="0"/>
              <w:left w:val="nil" w:sz="0" w:color="auto" w:space="0"/>
              <w:right w:val="single" w:sz="8" w:color="000000" w:space="0"/>
            </w:tcBorders>
            <w:shd w:fill="FFFFFF"/>
            <w:vAlign w:val="center"/>
            <w:tcW w:w="0" w:type="nil"/>
          </w:tcPr>
          <w:p>
            <w:pPr>
              <w:pStyle w:val=""/>
              <w:jc w:val="center"/>
              <w:spacing w:before="0" w:after="0" w:line="600" w:lineRule="exact"/>
            </w:pPr>
            <w:r>
              <w:rPr>
                <w:color w:val="000000"/>
                <w:rFonts w:ascii="仿宋" w:hAnsi="仿宋"/>
                <w:sz w:val="32"/>
                <w:szCs w:val="32"/>
              </w:rPr>
              <w:t>单位名称</w:t>
            </w:r>
          </w:p>
        </w:tc>
        <w:tc>
          <w:tcPr>
            <w:tcBorders>
              <w:top w:val="single" w:sz="8" w:color="000000" w:space="0"/>
              <w:bottom w:val="single" w:sz="8" w:color="000000" w:space="0"/>
              <w:left w:val="nil" w:sz="0" w:color="auto" w:space="0"/>
              <w:right w:val="single" w:sz="8" w:color="000000" w:space="0"/>
            </w:tcBorders>
            <w:shd w:fill="FFFFFF"/>
            <w:vAlign w:val="top"/>
            <w:tcW w:w="0" w:type="nil"/>
          </w:tcPr>
          <w:p>
            <w:pPr>
              <w:pStyle w:val=""/>
              <w:jc w:val="center"/>
              <w:spacing w:before="0" w:after="0" w:line="600" w:lineRule="exact"/>
            </w:pPr>
            <w:r>
              <w:rPr>
                <w:color w:val="000000"/>
                <w:rFonts w:ascii="仿宋" w:hAnsi="仿宋"/>
                <w:sz w:val="32"/>
                <w:szCs w:val="32"/>
              </w:rPr>
              <w:t>单位性质</w:t>
            </w:r>
          </w:p>
        </w:tc>
      </w:tr>
      <w:tr>
        <w:trPr>
          <w:trHeight w:val="397" w:hRule="atLeast"/>
        </w:trPr>
        <w:tc>
          <w:tcPr>
            <w:tcBorders>
              <w:top w:val="nil" w:sz="0" w:color="auto" w:space="0"/>
              <w:bottom w:val="single" w:sz="8" w:color="000000" w:space="0"/>
              <w:left w:val="single" w:sz="8" w:color="000000" w:space="0"/>
              <w:right w:val="single" w:sz="8" w:color="000000" w:space="0"/>
            </w:tcBorders>
            <w:shd w:fill="FFFFFF"/>
            <w:vAlign w:val="center"/>
            <w:tcW w:w="0" w:type="nil"/>
          </w:tcPr>
          <w:p>
            <w:pPr>
              <w:pStyle w:val=""/>
              <w:jc w:val="center"/>
              <w:spacing w:before="0" w:after="0" w:line="600" w:lineRule="exact"/>
            </w:pPr>
            <w:r>
              <w:rPr>
                <w:color w:val="000000"/>
                <w:rFonts w:ascii="仿宋" w:hAnsi="仿宋"/>
                <w:sz w:val="32"/>
                <w:szCs w:val="32"/>
              </w:rPr>
              <w:t>1</w:t>
            </w:r>
          </w:p>
        </w:tc>
        <w:tc>
          <w:tcPr>
            <w:tcBorders>
              <w:top w:val="nil" w:sz="0" w:color="auto" w:space="0"/>
              <w:bottom w:val="single" w:sz="8" w:color="000000" w:space="0"/>
              <w:left w:val="nil" w:sz="0" w:color="auto" w:space="0"/>
              <w:right w:val="single" w:sz="8" w:color="000000" w:space="0"/>
            </w:tcBorders>
            <w:shd w:fill="FFFFFF"/>
            <w:vAlign w:val="center"/>
            <w:tcW w:w="0" w:type="nil"/>
          </w:tcPr>
          <w:p>
            <w:pPr>
              <w:pStyle w:val=""/>
              <w:jc w:val="both"/>
              <w:spacing w:before="0" w:after="0" w:line="600" w:lineRule="exact"/>
            </w:pPr>
            <w:r>
              <w:rPr>
                <w:color w:val="000000"/>
                <w:rFonts w:ascii="仿宋" w:hAnsi="仿宋"/>
                <w:sz w:val="32"/>
                <w:szCs w:val="32"/>
              </w:rPr>
              <w:t>烈山区财政局本级</w:t>
            </w:r>
          </w:p>
        </w:tc>
        <w:tc>
          <w:tcPr>
            <w:tcBorders>
              <w:top w:val="nil" w:sz="0" w:color="auto" w:space="0"/>
              <w:bottom w:val="single" w:sz="8" w:color="000000" w:space="0"/>
              <w:left w:val="nil" w:sz="0" w:color="auto" w:space="0"/>
              <w:right w:val="single" w:sz="8" w:color="000000" w:space="0"/>
            </w:tcBorders>
            <w:shd w:fill="FFFFFF"/>
            <w:vAlign w:val="top"/>
            <w:tcW w:w="0" w:type="nil"/>
          </w:tcPr>
          <w:p>
            <w:pPr>
              <w:pStyle w:val=""/>
              <w:jc w:val="both"/>
              <w:spacing w:before="0" w:after="0" w:line="600" w:lineRule="exact"/>
            </w:pPr>
            <w:r>
              <w:rPr>
                <w:color w:val="000000"/>
                <w:rFonts w:ascii="仿宋" w:hAnsi="仿宋"/>
                <w:sz w:val="32"/>
                <w:szCs w:val="32"/>
              </w:rPr>
              <w:t>行政单位</w:t>
            </w:r>
          </w:p>
        </w:tc>
      </w:tr>
    </w:tbl>
    <w:p>
      <w:pPr>
        <w:shd w:fill="FFFFFF"/>
        <w:pStyle w:val=""/>
        <w:ind w:firstLine="627"/>
        <w:spacing w:before="0" w:after="0" w:line="600" w:lineRule="exact"/>
        <w:rPr>
          <w:color w:val="000000"/>
          <w:rFonts w:ascii="宋体" w:hAnsi="宋体"/>
          <w:sz w:val="32"/>
          <w:szCs w:val="32"/>
        </w:rPr>
      </w:pPr>
      <w:r>
        <w:rPr>
          <w:color w:val="000000"/>
          <w:rFonts w:ascii="黑体" w:hAnsi="宋体"/>
          <w:sz w:val="32"/>
          <w:szCs w:val="32"/>
          <w:shd w:fill="FFFFFF"/>
        </w:rPr>
        <w:t>三、</w:t>
      </w:r>
      <w:r>
        <w:rPr>
          <w:color w:val="000000"/>
          <w:rFonts w:ascii="黑体" w:hAnsi="宋体"/>
          <w:sz w:val="32"/>
          <w:szCs w:val="32"/>
          <w:shd w:fill="FFFFFF"/>
        </w:rPr>
        <w:t>2023</w:t>
      </w:r>
      <w:r>
        <w:rPr>
          <w:color w:val="000000"/>
          <w:rFonts w:ascii="黑体" w:hAnsi="宋体"/>
          <w:sz w:val="32"/>
          <w:szCs w:val="32"/>
          <w:shd w:fill="FFFFFF"/>
        </w:rPr>
        <w:t>年度主要工作任务</w:t>
      </w:r>
    </w:p>
    <w:p>
      <w:pPr>
        <w:pStyle w:val="2"/>
        <w:ind w:left="0"/>
        <w:ind w:firstLine="643"/>
        <w:pageBreakBefore w:val="0"/>
        <w:spacing w:after="0" w:line="580" w:lineRule="exact"/>
        <w:rPr>
          <w:color w:val="000000"/>
          <w:rFonts w:ascii="Times New Roman" w:hAnsi="Times New Roman"/>
          <w:sz w:val="32"/>
          <w:szCs w:val="32"/>
        </w:rPr>
      </w:pPr>
      <w:r>
        <w:rPr>
          <w:b/>
          <w:color w:val="000000"/>
          <w:rFonts w:ascii="楷体_GB2312" w:hAnsi="楷体_GB2312"/>
          <w:sz w:val="32"/>
          <w:szCs w:val="32"/>
        </w:rPr>
        <w:t>（一）做大做强综合实力。</w:t>
      </w:r>
      <w:r>
        <w:rPr>
          <w:color w:val="000000"/>
          <w:rFonts w:ascii="Times New Roman" w:hAnsi="Times New Roman"/>
          <w:sz w:val="32"/>
          <w:szCs w:val="32"/>
        </w:rPr>
        <w:t>一是抓收入是财政部门的主职主责，围绕区委区政府制定的年度收入目标，依法依规组织财政收入，积极培育可靠稳定财源，千方百计提高财政收入总量，促进收入运行总体平稳、可持续。二是持续加强国有资本经营收入管理，促进国有资产资源优化配置和有效使用，激活资本增值潜力。三是区财政设立专项工作经费，激励各部门各单位积极对接上级部门争取更多有利烈山发展的中央省市资金。</w:t>
      </w:r>
    </w:p>
    <w:p>
      <w:pPr>
        <w:pStyle w:val="2"/>
        <w:ind w:left="0"/>
        <w:ind w:firstLine="643"/>
        <w:pageBreakBefore w:val="0"/>
        <w:spacing w:after="0" w:line="580" w:lineRule="exact"/>
        <w:rPr>
          <w:color w:val="000000"/>
          <w:rFonts w:ascii="Times New Roman" w:hAnsi="Times New Roman"/>
          <w:sz w:val="32"/>
          <w:szCs w:val="32"/>
        </w:rPr>
      </w:pPr>
      <w:r>
        <w:rPr>
          <w:b/>
          <w:color w:val="000000"/>
          <w:rFonts w:ascii="楷体_GB2312" w:hAnsi="楷体_GB2312"/>
          <w:sz w:val="32"/>
          <w:szCs w:val="32"/>
        </w:rPr>
        <w:t>（二）强化财政支出管理。</w:t>
      </w:r>
      <w:r>
        <w:rPr>
          <w:color w:val="000000"/>
          <w:rFonts w:ascii="Times New Roman" w:hAnsi="Times New Roman"/>
          <w:sz w:val="32"/>
          <w:szCs w:val="32"/>
        </w:rPr>
        <w:t>一是保持适当支出强度，制定大事要事保障清单，加大资金统筹力度，为发展当好坚强后盾。二是强化专项债券资金管理，支持重大项目建设。充分发挥政府引导基金作用，重点支持新兴产业发展。三是不折不扣落实国家出台的各项减税降费政策，支持民营企业和中小企业发展。四是贯彻执行《淮北市财政系统预算指标核算管理改革实施方案》，推进我区预算指标核算管理改革工作提高预算管理绩效。</w:t>
      </w:r>
    </w:p>
    <w:p>
      <w:pPr>
        <w:pStyle w:val="2"/>
        <w:ind w:left="0"/>
        <w:ind w:firstLine="643"/>
        <w:pageBreakBefore w:val="0"/>
        <w:spacing w:after="0" w:line="580" w:lineRule="exact"/>
        <w:rPr>
          <w:color w:val="000000"/>
          <w:rFonts w:ascii="Times New Roman" w:hAnsi="Times New Roman"/>
          <w:sz w:val="32"/>
          <w:szCs w:val="32"/>
        </w:rPr>
      </w:pPr>
      <w:r>
        <w:rPr>
          <w:b/>
          <w:color w:val="000000"/>
          <w:rFonts w:ascii="楷体_GB2312" w:hAnsi="楷体_GB2312"/>
          <w:sz w:val="32"/>
          <w:szCs w:val="32"/>
        </w:rPr>
        <w:t>（三）坚决兜牢“三保”底线。</w:t>
      </w:r>
      <w:r>
        <w:rPr>
          <w:color w:val="000000"/>
          <w:rFonts w:ascii="Times New Roman" w:hAnsi="Times New Roman"/>
          <w:sz w:val="32"/>
          <w:szCs w:val="32"/>
        </w:rPr>
        <w:t>一是建立预算管理一体化系统管控</w:t>
      </w:r>
      <w:r>
        <w:rPr>
          <w:color w:val="000000"/>
          <w:rFonts w:ascii="Times New Roman" w:hAnsi="Times New Roman"/>
          <w:sz w:val="32"/>
          <w:szCs w:val="32"/>
        </w:rPr>
        <w:t>“</w:t>
      </w:r>
      <w:r>
        <w:rPr>
          <w:color w:val="000000"/>
          <w:rFonts w:ascii="Times New Roman" w:hAnsi="Times New Roman"/>
          <w:sz w:val="32"/>
          <w:szCs w:val="32"/>
        </w:rPr>
        <w:t>三保</w:t>
      </w:r>
      <w:r>
        <w:rPr>
          <w:color w:val="000000"/>
          <w:rFonts w:ascii="Times New Roman" w:hAnsi="Times New Roman"/>
          <w:sz w:val="32"/>
          <w:szCs w:val="32"/>
        </w:rPr>
        <w:t>”</w:t>
      </w:r>
      <w:r>
        <w:rPr>
          <w:color w:val="000000"/>
          <w:rFonts w:ascii="Times New Roman" w:hAnsi="Times New Roman"/>
          <w:sz w:val="32"/>
          <w:szCs w:val="32"/>
        </w:rPr>
        <w:t>保障机制，通过将相关项目、指标标注</w:t>
      </w:r>
      <w:r>
        <w:rPr>
          <w:color w:val="000000"/>
          <w:rFonts w:ascii="Times New Roman" w:hAnsi="Times New Roman"/>
          <w:sz w:val="32"/>
          <w:szCs w:val="32"/>
        </w:rPr>
        <w:t>“</w:t>
      </w:r>
      <w:r>
        <w:rPr>
          <w:color w:val="000000"/>
          <w:rFonts w:ascii="Times New Roman" w:hAnsi="Times New Roman"/>
          <w:sz w:val="32"/>
          <w:szCs w:val="32"/>
        </w:rPr>
        <w:t>三保</w:t>
      </w:r>
      <w:r>
        <w:rPr>
          <w:color w:val="000000"/>
          <w:rFonts w:ascii="Times New Roman" w:hAnsi="Times New Roman"/>
          <w:sz w:val="32"/>
          <w:szCs w:val="32"/>
        </w:rPr>
        <w:t>”</w:t>
      </w:r>
      <w:r>
        <w:rPr>
          <w:color w:val="000000"/>
          <w:rFonts w:ascii="Times New Roman" w:hAnsi="Times New Roman"/>
          <w:sz w:val="32"/>
          <w:szCs w:val="32"/>
        </w:rPr>
        <w:t>标识，实现</w:t>
      </w:r>
      <w:r>
        <w:rPr>
          <w:color w:val="000000"/>
          <w:rFonts w:ascii="Times New Roman" w:hAnsi="Times New Roman"/>
          <w:sz w:val="32"/>
          <w:szCs w:val="32"/>
        </w:rPr>
        <w:t>“</w:t>
      </w:r>
      <w:r>
        <w:rPr>
          <w:color w:val="000000"/>
          <w:rFonts w:ascii="Times New Roman" w:hAnsi="Times New Roman"/>
          <w:sz w:val="32"/>
          <w:szCs w:val="32"/>
        </w:rPr>
        <w:t>三保</w:t>
      </w:r>
      <w:r>
        <w:rPr>
          <w:color w:val="000000"/>
          <w:rFonts w:ascii="Times New Roman" w:hAnsi="Times New Roman"/>
          <w:sz w:val="32"/>
          <w:szCs w:val="32"/>
        </w:rPr>
        <w:t>”</w:t>
      </w:r>
      <w:r>
        <w:rPr>
          <w:color w:val="000000"/>
          <w:rFonts w:ascii="Times New Roman" w:hAnsi="Times New Roman"/>
          <w:sz w:val="32"/>
          <w:szCs w:val="32"/>
        </w:rPr>
        <w:t>预算和执行的信息化、动态化管理，确保</w:t>
      </w:r>
      <w:r>
        <w:rPr>
          <w:color w:val="000000"/>
          <w:rFonts w:ascii="Times New Roman" w:hAnsi="Times New Roman"/>
          <w:sz w:val="32"/>
          <w:szCs w:val="32"/>
        </w:rPr>
        <w:t>“</w:t>
      </w:r>
      <w:r>
        <w:rPr>
          <w:color w:val="000000"/>
          <w:rFonts w:ascii="Times New Roman" w:hAnsi="Times New Roman"/>
          <w:sz w:val="32"/>
          <w:szCs w:val="32"/>
        </w:rPr>
        <w:t>三保</w:t>
      </w:r>
      <w:r>
        <w:rPr>
          <w:color w:val="000000"/>
          <w:rFonts w:ascii="Times New Roman" w:hAnsi="Times New Roman"/>
          <w:sz w:val="32"/>
          <w:szCs w:val="32"/>
        </w:rPr>
        <w:t>”</w:t>
      </w:r>
      <w:r>
        <w:rPr>
          <w:color w:val="000000"/>
          <w:rFonts w:ascii="Times New Roman" w:hAnsi="Times New Roman"/>
          <w:sz w:val="32"/>
          <w:szCs w:val="32"/>
        </w:rPr>
        <w:t>资金精准高效落实到位。二是管好用好直达资金，充分发挥直达资金一竿子插到底的作用，实现各项民生资金第一时间抵达基层，确保民生资金支付及时顺畅、发挥效益。</w:t>
      </w:r>
    </w:p>
    <w:p>
      <w:pPr>
        <w:pStyle w:val="2"/>
        <w:ind w:left="0"/>
        <w:ind w:firstLine="643"/>
        <w:pageBreakBefore w:val="0"/>
        <w:spacing w:after="0" w:line="580" w:lineRule="exact"/>
        <w:rPr>
          <w:color w:val="000000"/>
          <w:rFonts w:ascii="Times New Roman" w:hAnsi="Times New Roman"/>
          <w:sz w:val="32"/>
          <w:szCs w:val="32"/>
        </w:rPr>
      </w:pPr>
      <w:r>
        <w:rPr>
          <w:b/>
          <w:color w:val="000000"/>
          <w:rFonts w:ascii="楷体_GB2312" w:hAnsi="楷体_GB2312"/>
          <w:sz w:val="32"/>
          <w:szCs w:val="32"/>
        </w:rPr>
        <w:t>（四）加强专项债券管理。</w:t>
      </w:r>
      <w:r>
        <w:rPr>
          <w:color w:val="000000"/>
          <w:rFonts w:ascii="Times New Roman" w:hAnsi="Times New Roman"/>
          <w:sz w:val="32"/>
          <w:szCs w:val="32"/>
        </w:rPr>
        <w:t>按照</w:t>
      </w:r>
      <w:r>
        <w:rPr>
          <w:color w:val="000000"/>
          <w:rFonts w:ascii="Times New Roman" w:hAnsi="Times New Roman"/>
          <w:sz w:val="32"/>
          <w:szCs w:val="32"/>
        </w:rPr>
        <w:t>“</w:t>
      </w:r>
      <w:r>
        <w:rPr>
          <w:color w:val="000000"/>
          <w:rFonts w:ascii="Times New Roman" w:hAnsi="Times New Roman"/>
          <w:sz w:val="32"/>
          <w:szCs w:val="32"/>
        </w:rPr>
        <w:t>早谋划、早发行、早见效</w:t>
      </w:r>
      <w:r>
        <w:rPr>
          <w:color w:val="000000"/>
          <w:rFonts w:ascii="Times New Roman" w:hAnsi="Times New Roman"/>
          <w:sz w:val="32"/>
          <w:szCs w:val="32"/>
        </w:rPr>
        <w:t>”</w:t>
      </w:r>
      <w:r>
        <w:rPr>
          <w:color w:val="000000"/>
          <w:rFonts w:ascii="Times New Roman" w:hAnsi="Times New Roman"/>
          <w:sz w:val="32"/>
          <w:szCs w:val="32"/>
        </w:rPr>
        <w:t>原则，抢抓机遇、多措并举，积极做好重大债券项目谋划、储备和发行准备工作，梳理、筛选、申报相应支撑项目，不断提高项目储备质量，项目主管部门、项目单位层层签订协议，明确借、用、管、还主体，落实项目建设、运营、维护责任，形成各部门、单位工作合力，保障项目如期实施，确保项目收益实现。</w:t>
      </w:r>
    </w:p>
    <w:p>
      <w:pPr>
        <w:pStyle w:val="2"/>
        <w:ind w:left="0"/>
        <w:ind w:firstLine="643"/>
        <w:pageBreakBefore w:val="0"/>
        <w:spacing w:after="0" w:line="580" w:lineRule="exact"/>
        <w:rPr>
          <w:color w:val="000000"/>
          <w:rFonts w:ascii="Times New Roman" w:hAnsi="Times New Roman"/>
          <w:sz w:val="32"/>
          <w:szCs w:val="32"/>
        </w:rPr>
      </w:pPr>
      <w:r>
        <w:rPr>
          <w:b/>
          <w:color w:val="000000"/>
          <w:rFonts w:ascii="楷体_GB2312" w:hAnsi="楷体_GB2312"/>
          <w:sz w:val="32"/>
          <w:szCs w:val="32"/>
        </w:rPr>
        <w:t>（五）严肃规范财政纪律。</w:t>
      </w:r>
      <w:r>
        <w:rPr>
          <w:color w:val="000000"/>
          <w:rFonts w:ascii="Times New Roman" w:hAnsi="Times New Roman"/>
          <w:sz w:val="32"/>
          <w:szCs w:val="32"/>
        </w:rPr>
        <w:t>一是严格落实零基预算改革要求，强化财政预算刚性约束，进一步规范区直单位临时追加预算支出的行为。强化预算绩效管理，将绩效理念和方法深度融入预算编制、执行、监督全过程，做到</w:t>
      </w:r>
      <w:r>
        <w:rPr>
          <w:color w:val="000000"/>
          <w:rFonts w:ascii="Times New Roman" w:hAnsi="Times New Roman"/>
          <w:sz w:val="32"/>
          <w:szCs w:val="32"/>
        </w:rPr>
        <w:t>“</w:t>
      </w:r>
      <w:r>
        <w:rPr>
          <w:color w:val="000000"/>
          <w:rFonts w:ascii="Times New Roman" w:hAnsi="Times New Roman"/>
          <w:sz w:val="32"/>
          <w:szCs w:val="32"/>
        </w:rPr>
        <w:t>花钱问效、无效问责</w:t>
      </w:r>
      <w:r>
        <w:rPr>
          <w:color w:val="000000"/>
          <w:rFonts w:ascii="Times New Roman" w:hAnsi="Times New Roman"/>
          <w:sz w:val="32"/>
          <w:szCs w:val="32"/>
        </w:rPr>
        <w:t>”</w:t>
      </w:r>
      <w:r>
        <w:rPr>
          <w:color w:val="000000"/>
          <w:rFonts w:ascii="Times New Roman" w:hAnsi="Times New Roman"/>
          <w:sz w:val="32"/>
          <w:szCs w:val="32"/>
        </w:rPr>
        <w:t>。二是严肃财经纪律，整饬财经秩序，严格执行各项财经法规和管理制度，有序推进各项专项监督和会计审计监管。三是提升会计核算能力，推动全区行政事业单位会计基础工作合法规范，扎实稳健，优质高效。</w:t>
      </w:r>
    </w:p>
    <w:p>
      <w:pPr>
        <w:shd w:fill="FFFFFF"/>
        <w:pStyle w:val=""/>
        <w:jc w:val="center"/>
        <w:spacing w:before="0" w:after="0" w:line="600" w:lineRule="exact"/>
        <w:rPr>
          <w:color w:val="000000"/>
          <w:rFonts w:ascii="黑体" w:hAnsi="黑体"/>
          <w:sz w:val="44"/>
          <w:szCs w:val="44"/>
          <w:shd w:fill="FFFFFF"/>
        </w:rPr>
      </w:pPr>
    </w:p>
    <w:p>
      <w:pPr>
        <w:shd w:fill="FFFFFF"/>
        <w:pStyle w:val=""/>
        <w:jc w:val="center"/>
        <w:spacing w:before="0" w:after="0" w:line="600" w:lineRule="exact"/>
        <w:rPr>
          <w:color w:val="000000"/>
          <w:rFonts w:ascii="黑体" w:hAnsi="黑体"/>
          <w:sz w:val="44"/>
          <w:szCs w:val="44"/>
          <w:shd w:fill="FFFFFF"/>
        </w:rPr>
      </w:pPr>
    </w:p>
    <w:p>
      <w:pPr>
        <w:shd w:fill="FFFFFF"/>
        <w:pStyle w:val=""/>
        <w:jc w:val="center"/>
        <w:spacing w:before="0" w:after="0" w:line="600" w:lineRule="exact"/>
        <w:rPr>
          <w:color w:val="000000"/>
          <w:rFonts w:ascii="黑体" w:hAnsi="黑体"/>
          <w:sz w:val="44"/>
          <w:szCs w:val="44"/>
          <w:shd w:fill="FFFFFF"/>
        </w:rPr>
      </w:pPr>
    </w:p>
    <w:p>
      <w:pPr>
        <w:shd w:fill="FFFFFF"/>
        <w:pStyle w:val=""/>
        <w:jc w:val="center"/>
        <w:spacing w:before="0" w:after="0" w:line="600" w:lineRule="exact"/>
        <w:rPr>
          <w:color w:val="000000"/>
          <w:rFonts w:ascii="黑体" w:hAnsi="黑体"/>
          <w:sz w:val="44"/>
          <w:szCs w:val="44"/>
          <w:shd w:fill="FFFFFF"/>
        </w:rPr>
      </w:pPr>
    </w:p>
    <w:p>
      <w:pPr>
        <w:shd w:fill="FFFFFF"/>
        <w:pStyle w:val=""/>
        <w:jc w:val="both"/>
        <w:spacing w:before="0" w:after="0" w:line="600" w:lineRule="exact"/>
        <w:rPr>
          <w:color w:val="000000"/>
          <w:rFonts w:ascii="黑体" w:hAnsi="黑体"/>
          <w:sz w:val="44"/>
          <w:szCs w:val="44"/>
          <w:shd w:fill="FFFFFF"/>
        </w:rPr>
      </w:pPr>
    </w:p>
    <w:p>
      <w:pPr>
        <w:shd w:fill="FFFFFF"/>
        <w:pStyle w:val=""/>
        <w:jc w:val="center"/>
        <w:spacing w:before="0" w:after="0" w:line="600" w:lineRule="exact"/>
        <w:rPr>
          <w:color w:val="000000"/>
          <w:rFonts w:ascii="黑体" w:hAnsi="黑体"/>
          <w:sz w:val="44"/>
          <w:szCs w:val="44"/>
        </w:rPr>
      </w:pPr>
      <w:r>
        <w:rPr>
          <w:color w:val="000000"/>
          <w:rFonts w:ascii="黑体" w:hAnsi="黑体"/>
          <w:sz w:val="44"/>
          <w:szCs w:val="44"/>
          <w:shd w:fill="FFFFFF"/>
        </w:rPr>
        <w:t>第二部分</w:t>
      </w:r>
      <w:r>
        <w:rPr>
          <w:color w:val="000000"/>
          <w:rFonts w:ascii="黑体" w:hAnsi="黑体"/>
          <w:sz w:val="44"/>
          <w:szCs w:val="44"/>
          <w:shd w:fill="FFFFFF"/>
        </w:rPr>
        <w:t>2023</w:t>
      </w:r>
      <w:r>
        <w:rPr>
          <w:color w:val="000000"/>
          <w:rFonts w:ascii="黑体" w:hAnsi="黑体"/>
          <w:sz w:val="44"/>
          <w:szCs w:val="44"/>
          <w:shd w:fill="FFFFFF"/>
        </w:rPr>
        <w:t>年部门预算表</w:t>
      </w:r>
    </w:p>
    <w:p>
      <w:pPr>
        <w:pStyle w:val=""/>
        <w:rPr>
          <w:color w:val="000000"/>
          <w:rFonts w:ascii="仿宋" w:hAnsi="仿宋"/>
          <w:sz w:val="32"/>
          <w:szCs w:val="32"/>
        </w:rPr>
      </w:pPr>
    </w:p>
    <w:p>
      <w:pPr>
        <w:pStyle w:val=""/>
        <w:rPr>
          <w:color w:val="000000"/>
          <w:rFonts w:ascii="仿宋" w:hAnsi="仿宋"/>
          <w:sz w:val="32"/>
          <w:szCs w:val="32"/>
        </w:rPr>
      </w:pPr>
    </w:p>
    <w:p>
      <w:pPr>
        <w:pStyle w:val=""/>
        <w:rPr>
          <w:color w:val="000000"/>
          <w:rFonts w:ascii="仿宋" w:hAnsi="仿宋"/>
          <w:sz w:val="32"/>
          <w:szCs w:val="32"/>
        </w:rPr>
      </w:pPr>
      <w:r>
        <w:rPr>
          <w:noProof/>
        </w:rPr>
        <w:drawing>
          <wp:inline distT="0" distB="0" distL="0" distR="0">
            <wp:extent cx="5270500" cy="93122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7"/>
                    <a:stretch>
                      <a:fillRect/>
                    </a:stretch>
                  </pic:blipFill>
                  <pic:spPr bwMode="auto">
                    <a:xfrm>
                      <a:off x="0" y="0"/>
                      <a:ext cx="5270500" cy="9312275"/>
                    </a:xfrm>
                    <a:prstGeom prst="rect">
                      <a:avLst/>
                    </a:prstGeom>
                    <a:noFill/>
                  </pic:spPr>
                </pic:pic>
              </a:graphicData>
            </a:graphic>
          </wp:inline>
        </w:drawing>
      </w:r>
    </w:p>
    <w:p>
      <w:pPr>
        <w:pStyle w:val=""/>
        <w:rPr>
          <w:color w:val="000000"/>
          <w:rFonts w:ascii="仿宋" w:hAnsi="仿宋"/>
          <w:sz w:val="32"/>
          <w:szCs w:val="32"/>
        </w:rPr>
      </w:pPr>
      <w:r>
        <w:rPr>
          <w:noProof/>
        </w:rPr>
        <w:drawing>
          <wp:inline distT="0" distB="0" distL="0" distR="0">
            <wp:extent cx="6147435" cy="41592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8"/>
                    <a:stretch>
                      <a:fillRect/>
                    </a:stretch>
                  </pic:blipFill>
                  <pic:spPr bwMode="auto">
                    <a:xfrm>
                      <a:off x="0" y="0"/>
                      <a:ext cx="6147435" cy="4159250"/>
                    </a:xfrm>
                    <a:prstGeom prst="rect">
                      <a:avLst/>
                    </a:prstGeom>
                    <a:noFill/>
                  </pic:spPr>
                </pic:pic>
              </a:graphicData>
            </a:graphic>
          </wp:inline>
        </w:drawing>
      </w:r>
    </w:p>
    <w:p>
      <w:pPr>
        <w:pStyle w:val=""/>
        <w:rPr>
          <w:color w:val="000000"/>
          <w:rFonts w:ascii="仿宋" w:hAnsi="仿宋"/>
          <w:sz w:val="32"/>
          <w:szCs w:val="32"/>
        </w:rPr>
      </w:pPr>
    </w:p>
    <w:p>
      <w:pPr>
        <w:pStyle w:val=""/>
        <w:rPr>
          <w:color w:val="000000"/>
          <w:rFonts w:ascii="仿宋" w:hAnsi="仿宋"/>
          <w:sz w:val="32"/>
          <w:szCs w:val="32"/>
        </w:rPr>
      </w:pPr>
    </w:p>
    <w:p>
      <w:pPr>
        <w:pStyle w:val=""/>
        <w:rPr>
          <w:color w:val="000000"/>
          <w:rFonts w:ascii="仿宋" w:hAnsi="仿宋"/>
          <w:sz w:val="32"/>
          <w:szCs w:val="32"/>
        </w:rPr>
      </w:pPr>
    </w:p>
    <w:p>
      <w:pPr>
        <w:pStyle w:val=""/>
      </w:pPr>
    </w:p>
    <w:p>
      <w:pPr>
        <w:pStyle w:val=""/>
        <w:rPr>
          <w:color w:val="000000"/>
          <w:rFonts w:ascii="仿宋" w:hAnsi="仿宋"/>
          <w:sz w:val="32"/>
          <w:szCs w:val="32"/>
        </w:rPr>
      </w:pPr>
    </w:p>
    <w:p>
      <w:pPr>
        <w:pStyle w:val=""/>
        <w:rPr>
          <w:color w:val="000000"/>
          <w:rFonts w:ascii="仿宋" w:hAnsi="仿宋"/>
          <w:sz w:val="32"/>
          <w:szCs w:val="32"/>
        </w:rPr>
      </w:pPr>
    </w:p>
    <w:p>
      <w:pPr>
        <w:pStyle w:val=""/>
        <w:rPr>
          <w:color w:val="000000"/>
          <w:rFonts w:ascii="仿宋" w:hAnsi="仿宋"/>
          <w:sz w:val="32"/>
          <w:szCs w:val="32"/>
        </w:rPr>
      </w:pPr>
    </w:p>
    <w:p>
      <w:pPr>
        <w:pStyle w:val=""/>
        <w:rPr>
          <w:color w:val="000000"/>
          <w:rFonts w:ascii="仿宋" w:hAnsi="仿宋"/>
          <w:sz w:val="32"/>
          <w:szCs w:val="32"/>
        </w:rPr>
      </w:pPr>
    </w:p>
    <w:p>
      <w:pPr>
        <w:pStyle w:val=""/>
        <w:rPr>
          <w:color w:val="000000"/>
          <w:rFonts w:ascii="仿宋" w:hAnsi="仿宋"/>
          <w:sz w:val="32"/>
          <w:szCs w:val="32"/>
        </w:rPr>
      </w:pPr>
    </w:p>
    <w:p>
      <w:pPr>
        <w:pStyle w:val=""/>
        <w:ind w:left="0"/>
        <w:ind w:firstLine="0"/>
        <w:rPr>
          <w:color w:val="000000"/>
          <w:rFonts w:ascii="仿宋" w:hAnsi="仿宋"/>
          <w:sz w:val="32"/>
          <w:szCs w:val="32"/>
        </w:rPr>
      </w:pPr>
    </w:p>
    <w:p>
      <w:pPr>
        <w:pStyle w:val=""/>
        <w:rPr>
          <w:color w:val="000000"/>
          <w:rFonts w:ascii="仿宋" w:hAnsi="仿宋"/>
          <w:sz w:val="32"/>
          <w:szCs w:val="32"/>
        </w:rPr>
      </w:pPr>
      <w:r>
        <w:rPr>
          <w:noProof/>
        </w:rPr>
        <w:drawing>
          <wp:inline distT="0" distB="0" distL="0" distR="0">
            <wp:extent cx="5268595" cy="784415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r:embed="rId9"/>
                    <a:stretch>
                      <a:fillRect/>
                    </a:stretch>
                  </pic:blipFill>
                  <pic:spPr bwMode="auto">
                    <a:xfrm>
                      <a:off x="0" y="0"/>
                      <a:ext cx="5268595" cy="7844155"/>
                    </a:xfrm>
                    <a:prstGeom prst="rect">
                      <a:avLst/>
                    </a:prstGeom>
                    <a:noFill/>
                  </pic:spPr>
                </pic:pic>
              </a:graphicData>
            </a:graphic>
          </wp:inline>
        </w:drawing>
      </w:r>
    </w:p>
    <w:p>
      <w:pPr>
        <w:pStyle w:val=""/>
      </w:pPr>
    </w:p>
    <w:p>
      <w:pPr>
        <w:pStyle w:val=""/>
        <w:rPr>
          <w:color w:val="000000"/>
          <w:rFonts w:ascii="仿宋" w:hAnsi="仿宋"/>
          <w:sz w:val="32"/>
          <w:szCs w:val="32"/>
        </w:rPr>
      </w:pPr>
    </w:p>
    <w:p>
      <w:pPr>
        <w:pStyle w:val=""/>
        <w:ind w:left="0"/>
        <w:ind w:firstLine="0"/>
        <w:rPr>
          <w:color w:val="000000"/>
          <w:rFonts w:ascii="仿宋" w:hAnsi="仿宋"/>
          <w:sz w:val="32"/>
          <w:szCs w:val="32"/>
        </w:rPr>
      </w:pPr>
      <w:r>
        <w:rPr>
          <w:noProof/>
        </w:rPr>
        <w:drawing>
          <wp:inline distT="0" distB="0" distL="0" distR="0">
            <wp:extent cx="5271770" cy="819658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
                    <pic:cNvPicPr/>
                  </pic:nvPicPr>
                  <pic:blipFill>
                    <a:blip r:embed="rId10"/>
                    <a:stretch>
                      <a:fillRect/>
                    </a:stretch>
                  </pic:blipFill>
                  <pic:spPr bwMode="auto">
                    <a:xfrm>
                      <a:off x="0" y="0"/>
                      <a:ext cx="5271770" cy="8196580"/>
                    </a:xfrm>
                    <a:prstGeom prst="rect">
                      <a:avLst/>
                    </a:prstGeom>
                    <a:noFill/>
                  </pic:spPr>
                </pic:pic>
              </a:graphicData>
            </a:graphic>
          </wp:inline>
        </w:drawing>
      </w:r>
    </w:p>
    <w:p>
      <w:pPr>
        <w:pStyle w:val=""/>
        <w:rPr>
          <w:color w:val="000000"/>
        </w:rPr>
      </w:pPr>
    </w:p>
    <w:p>
      <w:pPr>
        <w:pStyle w:val=""/>
        <w:ind w:left="0"/>
        <w:ind w:firstLine="0"/>
        <w:rPr>
          <w:color w:val="000000"/>
          <w:rFonts w:ascii="仿宋" w:hAnsi="仿宋"/>
          <w:sz w:val="32"/>
          <w:szCs w:val="32"/>
        </w:rPr>
      </w:pPr>
      <w:r>
        <w:rPr>
          <w:noProof/>
        </w:rPr>
        <w:drawing>
          <wp:inline distT="0" distB="0" distL="0" distR="0">
            <wp:extent cx="5271135" cy="876490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
                    <pic:cNvPicPr/>
                  </pic:nvPicPr>
                  <pic:blipFill>
                    <a:blip r:embed="rId11"/>
                    <a:stretch>
                      <a:fillRect/>
                    </a:stretch>
                  </pic:blipFill>
                  <pic:spPr bwMode="auto">
                    <a:xfrm>
                      <a:off x="0" y="0"/>
                      <a:ext cx="5271135" cy="8764905"/>
                    </a:xfrm>
                    <a:prstGeom prst="rect">
                      <a:avLst/>
                    </a:prstGeom>
                    <a:noFill/>
                  </pic:spPr>
                </pic:pic>
              </a:graphicData>
            </a:graphic>
          </wp:inline>
        </w:drawing>
      </w:r>
    </w:p>
    <w:p>
      <w:pPr>
        <w:pStyle w:val=""/>
        <w:rPr>
          <w:color w:val="000000"/>
          <w:rFonts w:ascii="仿宋" w:hAnsi="仿宋"/>
          <w:sz w:val="32"/>
          <w:szCs w:val="32"/>
        </w:rPr>
      </w:pPr>
      <w:r>
        <w:rPr>
          <w:noProof/>
        </w:rPr>
        <w:drawing>
          <wp:inline distT="0" distB="0" distL="0" distR="0">
            <wp:extent cx="5273675" cy="755459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
                    <pic:cNvPicPr/>
                  </pic:nvPicPr>
                  <pic:blipFill>
                    <a:blip r:embed="rId12"/>
                    <a:stretch>
                      <a:fillRect/>
                    </a:stretch>
                  </pic:blipFill>
                  <pic:spPr bwMode="auto">
                    <a:xfrm>
                      <a:off x="0" y="0"/>
                      <a:ext cx="5273675" cy="7554595"/>
                    </a:xfrm>
                    <a:prstGeom prst="rect">
                      <a:avLst/>
                    </a:prstGeom>
                    <a:noFill/>
                  </pic:spPr>
                </pic:pic>
              </a:graphicData>
            </a:graphic>
          </wp:inline>
        </w:drawing>
      </w:r>
    </w:p>
    <w:p>
      <w:pPr>
        <w:pStyle w:val=""/>
        <w:rPr>
          <w:color w:val="000000"/>
          <w:rFonts w:ascii="仿宋" w:hAnsi="仿宋"/>
          <w:sz w:val="32"/>
          <w:szCs w:val="32"/>
        </w:rPr>
      </w:pPr>
    </w:p>
    <w:p>
      <w:pPr>
        <w:pStyle w:val=""/>
        <w:rPr>
          <w:color w:val="000000"/>
          <w:rFonts w:ascii="仿宋" w:hAnsi="仿宋"/>
          <w:sz w:val="32"/>
          <w:szCs w:val="32"/>
        </w:rPr>
      </w:pPr>
    </w:p>
    <w:p>
      <w:pPr>
        <w:pStyle w:val=""/>
        <w:rPr>
          <w:color w:val="000000"/>
          <w:rFonts w:ascii="仿宋" w:hAnsi="仿宋"/>
          <w:sz w:val="32"/>
          <w:szCs w:val="32"/>
        </w:rPr>
      </w:pPr>
      <w:r>
        <w:rPr>
          <w:noProof/>
        </w:rPr>
        <w:drawing>
          <wp:inline distT="0" distB="0" distL="0" distR="0">
            <wp:extent cx="5267960" cy="232981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
                    <pic:cNvPicPr/>
                  </pic:nvPicPr>
                  <pic:blipFill>
                    <a:blip r:embed="rId13"/>
                    <a:stretch>
                      <a:fillRect/>
                    </a:stretch>
                  </pic:blipFill>
                  <pic:spPr bwMode="auto">
                    <a:xfrm>
                      <a:off x="0" y="0"/>
                      <a:ext cx="5267960" cy="2329815"/>
                    </a:xfrm>
                    <a:prstGeom prst="rect">
                      <a:avLst/>
                    </a:prstGeom>
                    <a:noFill/>
                  </pic:spPr>
                </pic:pic>
              </a:graphicData>
            </a:graphic>
          </wp:inline>
        </w:drawing>
      </w:r>
    </w:p>
    <w:p>
      <w:pPr>
        <w:pStyle w:val=""/>
      </w:pPr>
    </w:p>
    <w:p>
      <w:pPr>
        <w:pStyle w:val=""/>
        <w:ind w:left="0"/>
        <w:ind w:firstLine="0"/>
        <w:rPr>
          <w:color w:val="000000"/>
          <w:rFonts w:ascii="仿宋" w:hAnsi="仿宋"/>
          <w:sz w:val="32"/>
          <w:szCs w:val="32"/>
        </w:rPr>
      </w:pPr>
    </w:p>
    <w:p>
      <w:pPr>
        <w:pStyle w:val=""/>
        <w:rPr>
          <w:color w:val="000000"/>
          <w:rFonts w:ascii="仿宋" w:hAnsi="仿宋"/>
          <w:sz w:val="32"/>
          <w:szCs w:val="32"/>
        </w:rPr>
      </w:pPr>
    </w:p>
    <w:p>
      <w:pPr>
        <w:pStyle w:val=""/>
        <w:rPr>
          <w:color w:val="000000"/>
          <w:rFonts w:ascii="仿宋" w:hAnsi="仿宋"/>
          <w:sz w:val="32"/>
          <w:szCs w:val="32"/>
        </w:rPr>
      </w:pPr>
      <w:r>
        <w:rPr>
          <w:noProof/>
        </w:rPr>
        <w:drawing>
          <wp:inline distT="0" distB="0" distL="0" distR="0">
            <wp:extent cx="5274310" cy="22606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pic:cNvPicPr/>
                  </pic:nvPicPr>
                  <pic:blipFill>
                    <a:blip r:embed="rId14"/>
                    <a:stretch>
                      <a:fillRect/>
                    </a:stretch>
                  </pic:blipFill>
                  <pic:spPr bwMode="auto">
                    <a:xfrm>
                      <a:off x="0" y="0"/>
                      <a:ext cx="5274310" cy="2260600"/>
                    </a:xfrm>
                    <a:prstGeom prst="rect">
                      <a:avLst/>
                    </a:prstGeom>
                    <a:noFill/>
                  </pic:spPr>
                </pic:pic>
              </a:graphicData>
            </a:graphic>
          </wp:inline>
        </w:drawing>
      </w:r>
    </w:p>
    <w:p>
      <w:pPr>
        <w:pStyle w:val=""/>
        <w:rPr>
          <w:color w:val="000000"/>
        </w:rPr>
      </w:pPr>
    </w:p>
    <w:p>
      <w:pPr>
        <w:pStyle w:val=""/>
        <w:rPr>
          <w:color w:val="000000"/>
          <w:rFonts w:ascii="仿宋" w:hAnsi="仿宋"/>
          <w:sz w:val="32"/>
          <w:szCs w:val="32"/>
        </w:rPr>
      </w:pPr>
      <w:r>
        <w:rPr>
          <w:noProof/>
        </w:rPr>
        <w:drawing>
          <wp:inline distT="0" distB="0" distL="0" distR="0">
            <wp:extent cx="5663565" cy="39262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
                    <pic:cNvPicPr/>
                  </pic:nvPicPr>
                  <pic:blipFill>
                    <a:blip r:embed="rId15"/>
                    <a:stretch>
                      <a:fillRect/>
                    </a:stretch>
                  </pic:blipFill>
                  <pic:spPr bwMode="auto">
                    <a:xfrm>
                      <a:off x="0" y="0"/>
                      <a:ext cx="5663565" cy="3926205"/>
                    </a:xfrm>
                    <a:prstGeom prst="rect">
                      <a:avLst/>
                    </a:prstGeom>
                    <a:noFill/>
                  </pic:spPr>
                </pic:pic>
              </a:graphicData>
            </a:graphic>
          </wp:inline>
        </w:drawing>
      </w:r>
    </w:p>
    <w:p>
      <w:pPr>
        <w:pStyle w:val=""/>
        <w:rPr>
          <w:color w:val="000000"/>
          <w:rFonts w:ascii="仿宋" w:hAnsi="仿宋"/>
          <w:sz w:val="32"/>
          <w:szCs w:val="32"/>
        </w:rPr>
      </w:pPr>
    </w:p>
    <w:p>
      <w:pPr>
        <w:pStyle w:val=""/>
        <w:rPr>
          <w:color w:val="000000"/>
        </w:rPr>
      </w:pPr>
      <w:r>
        <w:rPr>
          <w:noProof/>
        </w:rPr>
        <w:drawing>
          <wp:inline distT="0" distB="0" distL="0" distR="0">
            <wp:extent cx="5273675" cy="280162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
                    <pic:cNvPicPr/>
                  </pic:nvPicPr>
                  <pic:blipFill>
                    <a:blip r:embed="rId16"/>
                    <a:stretch>
                      <a:fillRect/>
                    </a:stretch>
                  </pic:blipFill>
                  <pic:spPr bwMode="auto">
                    <a:xfrm>
                      <a:off x="0" y="0"/>
                      <a:ext cx="5273675" cy="2801620"/>
                    </a:xfrm>
                    <a:prstGeom prst="rect">
                      <a:avLst/>
                    </a:prstGeom>
                    <a:noFill/>
                  </pic:spPr>
                </pic:pic>
              </a:graphicData>
            </a:graphic>
          </wp:inline>
        </w:drawing>
      </w:r>
    </w:p>
    <w:p>
      <w:pPr>
        <w:pStyle w:val=""/>
        <w:rPr>
          <w:color w:val="000000"/>
          <w:rFonts w:ascii="仿宋" w:hAnsi="仿宋"/>
          <w:sz w:val="32"/>
          <w:szCs w:val="32"/>
        </w:rPr>
      </w:pPr>
    </w:p>
    <w:p>
      <w:pPr>
        <w:pStyle w:val=""/>
        <w:rPr>
          <w:color w:val="000000"/>
          <w:rFonts w:ascii="仿宋" w:hAnsi="仿宋"/>
          <w:sz w:val="32"/>
          <w:szCs w:val="32"/>
        </w:rPr>
      </w:pPr>
    </w:p>
    <w:p>
      <w:pPr>
        <w:pStyle w:val=""/>
        <w:rPr>
          <w:color w:val="000000"/>
          <w:rFonts w:ascii="仿宋" w:hAnsi="仿宋"/>
          <w:sz w:val="32"/>
          <w:szCs w:val="32"/>
        </w:rPr>
      </w:pPr>
    </w:p>
    <w:p>
      <w:pPr>
        <w:pStyle w:val=""/>
        <w:ind w:left="0"/>
        <w:ind w:firstLine="0"/>
        <w:rPr>
          <w:color w:val="000000"/>
          <w:rFonts w:ascii="仿宋" w:hAnsi="仿宋"/>
          <w:sz w:val="32"/>
          <w:szCs w:val="32"/>
        </w:rPr>
      </w:pPr>
      <w:r>
        <w:rPr>
          <w:noProof/>
        </w:rPr>
        <w:drawing>
          <wp:inline distT="0" distB="0" distL="0" distR="0">
            <wp:extent cx="5269865" cy="303784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
                    <pic:cNvPicPr/>
                  </pic:nvPicPr>
                  <pic:blipFill>
                    <a:blip r:embed="rId17"/>
                    <a:stretch>
                      <a:fillRect/>
                    </a:stretch>
                  </pic:blipFill>
                  <pic:spPr bwMode="auto">
                    <a:xfrm>
                      <a:off x="0" y="0"/>
                      <a:ext cx="5269865" cy="3037840"/>
                    </a:xfrm>
                    <a:prstGeom prst="rect">
                      <a:avLst/>
                    </a:prstGeom>
                    <a:noFill/>
                  </pic:spPr>
                </pic:pic>
              </a:graphicData>
            </a:graphic>
          </wp:inline>
        </w:drawing>
      </w:r>
    </w:p>
    <w:p>
      <w:pPr>
        <w:pStyle w:val="2"/>
        <w:rPr>
          <w:color w:val="000000"/>
          <w:rFonts w:ascii="仿宋" w:hAnsi="仿宋"/>
          <w:sz w:val="32"/>
          <w:szCs w:val="32"/>
        </w:rPr>
      </w:pPr>
    </w:p>
    <w:p>
      <w:pPr>
        <w:pStyle w:val="2"/>
        <w:rPr>
          <w:color w:val="000000"/>
          <w:rFonts w:ascii="仿宋" w:hAnsi="仿宋"/>
          <w:sz w:val="32"/>
          <w:szCs w:val="32"/>
        </w:rPr>
      </w:pPr>
    </w:p>
    <w:p>
      <w:pPr>
        <w:pStyle w:val="2"/>
        <w:ind w:left="0"/>
        <w:ind w:firstLine="0"/>
        <w:rPr>
          <w:color w:val="000000"/>
          <w:rFonts w:ascii="仿宋" w:hAnsi="仿宋"/>
          <w:sz w:val="32"/>
          <w:szCs w:val="32"/>
        </w:rPr>
      </w:pPr>
    </w:p>
    <w:p>
      <w:pPr>
        <w:pStyle w:val=""/>
        <w:rPr>
          <w:color w:val="000000"/>
          <w:rFonts w:ascii="仿宋" w:hAnsi="仿宋"/>
          <w:sz w:val="32"/>
          <w:szCs w:val="32"/>
        </w:rPr>
      </w:pPr>
    </w:p>
    <w:p>
      <w:pPr>
        <w:pStyle w:val=""/>
        <w:rPr>
          <w:color w:val="000000"/>
          <w:rFonts w:ascii="仿宋" w:hAnsi="仿宋"/>
          <w:sz w:val="32"/>
          <w:szCs w:val="32"/>
        </w:rPr>
      </w:pPr>
    </w:p>
    <w:p>
      <w:pPr>
        <w:pStyle w:val=""/>
        <w:rPr>
          <w:color w:val="000000"/>
          <w:rFonts w:ascii="仿宋" w:hAnsi="仿宋"/>
          <w:sz w:val="32"/>
          <w:szCs w:val="32"/>
        </w:rPr>
      </w:pPr>
    </w:p>
    <w:p>
      <w:pPr>
        <w:pStyle w:val=""/>
        <w:rPr>
          <w:color w:val="000000"/>
          <w:rFonts w:ascii="仿宋" w:hAnsi="仿宋"/>
          <w:sz w:val="32"/>
          <w:szCs w:val="32"/>
        </w:rPr>
      </w:pPr>
    </w:p>
    <w:p>
      <w:pPr>
        <w:pStyle w:val=""/>
        <w:rPr>
          <w:color w:val="000000"/>
          <w:rFonts w:ascii="仿宋" w:hAnsi="仿宋"/>
          <w:sz w:val="32"/>
          <w:szCs w:val="32"/>
        </w:rPr>
      </w:pPr>
    </w:p>
    <w:p>
      <w:pPr>
        <w:pStyle w:val=""/>
        <w:rPr>
          <w:color w:val="000000"/>
          <w:rFonts w:ascii="仿宋" w:hAnsi="仿宋"/>
          <w:sz w:val="32"/>
          <w:szCs w:val="32"/>
        </w:rPr>
      </w:pPr>
    </w:p>
    <w:p>
      <w:pPr>
        <w:pStyle w:val=""/>
        <w:rPr>
          <w:color w:val="000000"/>
          <w:rFonts w:ascii="仿宋" w:hAnsi="仿宋"/>
          <w:sz w:val="32"/>
          <w:szCs w:val="32"/>
        </w:rPr>
      </w:pPr>
    </w:p>
    <w:p>
      <w:pPr>
        <w:pStyle w:val=""/>
        <w:rPr>
          <w:color w:val="000000"/>
          <w:rFonts w:ascii="仿宋" w:hAnsi="仿宋"/>
          <w:sz w:val="32"/>
          <w:szCs w:val="32"/>
        </w:rPr>
      </w:pPr>
    </w:p>
    <w:p>
      <w:pPr>
        <w:pStyle w:val=""/>
      </w:pPr>
    </w:p>
    <w:p>
      <w:pPr>
        <w:pStyle w:val=""/>
        <w:jc w:val="center"/>
        <w:spacing w:before="0" w:after="0" w:line="600" w:lineRule="exact"/>
        <w:rPr>
          <w:color w:val="000000"/>
          <w:rFonts w:ascii="宋体" w:hAnsi="宋体"/>
          <w:sz w:val="44"/>
          <w:szCs w:val="44"/>
        </w:rPr>
      </w:pPr>
      <w:r>
        <w:rPr>
          <w:color w:val="000000"/>
          <w:rFonts w:ascii="黑体" w:hAnsi="宋体"/>
          <w:sz w:val="44"/>
          <w:szCs w:val="44"/>
          <w:shd w:fill="FFFFFF"/>
        </w:rPr>
        <w:t>第三部分</w:t>
      </w:r>
      <w:r>
        <w:rPr>
          <w:color w:val="000000"/>
          <w:rFonts w:ascii="黑体" w:hAnsi="宋体"/>
          <w:sz w:val="44"/>
          <w:szCs w:val="44"/>
          <w:shd w:fill="FFFFFF"/>
        </w:rPr>
        <w:t> </w:t>
      </w:r>
      <w:r>
        <w:rPr>
          <w:color w:val="000000"/>
          <w:rFonts w:ascii="黑体" w:hAnsi="宋体"/>
          <w:sz w:val="44"/>
          <w:szCs w:val="44"/>
          <w:shd w:fill="FFFFFF"/>
        </w:rPr>
        <w:t>2023</w:t>
      </w:r>
      <w:r>
        <w:rPr>
          <w:color w:val="000000"/>
          <w:rFonts w:ascii="黑体" w:hAnsi="宋体"/>
          <w:sz w:val="44"/>
          <w:szCs w:val="44"/>
          <w:shd w:fill="FFFFFF"/>
        </w:rPr>
        <w:t>年部门预算情况说明</w:t>
      </w:r>
    </w:p>
    <w:p>
      <w:pPr>
        <w:pStyle w:val=""/>
        <w:spacing w:before="0" w:after="0" w:line="600" w:lineRule="exact"/>
        <w:rPr>
          <w:color w:val="000000"/>
          <w:rFonts w:ascii="宋体" w:hAnsi="宋体"/>
        </w:rPr>
      </w:pPr>
      <w:r>
        <w:rPr>
          <w:color w:val="000000"/>
          <w:rFonts w:ascii="宋体" w:hAnsi="宋体"/>
          <w:shd w:fill="FFFFFF"/>
        </w:rPr>
        <w:t> </w:t>
      </w:r>
    </w:p>
    <w:p>
      <w:pPr>
        <w:pStyle w:val=""/>
        <w:ind w:firstLine="640"/>
        <w:spacing w:before="0" w:after="0" w:line="600" w:lineRule="exact"/>
        <w:rPr>
          <w:color w:val="000000"/>
          <w:rFonts w:ascii="宋体" w:hAnsi="宋体"/>
          <w:sz w:val="32"/>
          <w:szCs w:val="32"/>
        </w:rPr>
      </w:pPr>
      <w:r>
        <w:rPr>
          <w:color w:val="000000"/>
          <w:rFonts w:ascii="黑体" w:hAnsi="宋体"/>
          <w:sz w:val="32"/>
          <w:szCs w:val="32"/>
          <w:shd w:fill="FFFFFF"/>
        </w:rPr>
        <w:t>一</w:t>
      </w:r>
      <w:r>
        <w:rPr>
          <w:color w:val="000000"/>
          <w:rFonts w:ascii="黑体" w:hAnsi="宋体"/>
          <w:sz w:val="32"/>
          <w:szCs w:val="32"/>
          <w:shd w:fill="FFFFFF"/>
        </w:rPr>
        <w:t>、关于</w:t>
      </w:r>
      <w:r>
        <w:rPr>
          <w:color w:val="000000"/>
          <w:rFonts w:ascii="黑体" w:hAnsi="宋体"/>
          <w:sz w:val="32"/>
          <w:szCs w:val="32"/>
          <w:shd w:fill="FFFFFF"/>
        </w:rPr>
        <w:t>2023</w:t>
      </w:r>
      <w:r>
        <w:rPr>
          <w:color w:val="000000"/>
          <w:rFonts w:ascii="黑体" w:hAnsi="宋体"/>
          <w:sz w:val="32"/>
          <w:szCs w:val="32"/>
          <w:shd w:fill="FFFFFF"/>
        </w:rPr>
        <w:t>年收支</w:t>
      </w:r>
      <w:r>
        <w:rPr>
          <w:color w:val="000000"/>
          <w:rFonts w:ascii="黑体" w:hAnsi="宋体"/>
          <w:sz w:val="32"/>
          <w:szCs w:val="32"/>
          <w:shd w:fill="FFFFFF"/>
        </w:rPr>
        <w:t>总表的</w:t>
      </w:r>
      <w:r>
        <w:rPr>
          <w:color w:val="000000"/>
          <w:rFonts w:ascii="黑体" w:hAnsi="宋体"/>
          <w:sz w:val="32"/>
          <w:szCs w:val="32"/>
          <w:shd w:fill="FFFFFF"/>
        </w:rPr>
        <w:t>说明</w:t>
      </w:r>
    </w:p>
    <w:p>
      <w:pPr>
        <w:pStyle w:val=""/>
        <w:ind w:firstLine="640"/>
        <w:spacing w:before="0" w:after="0" w:line="600" w:lineRule="exact"/>
        <w:rPr>
          <w:color w:val="000000"/>
          <w:rFonts w:ascii="仿宋_GB2312" w:hAnsi="仿宋_GB2312"/>
          <w:sz w:val="32"/>
          <w:szCs w:val="32"/>
          <w:shd w:fill="FFFFFF"/>
        </w:rPr>
      </w:pPr>
      <w:r>
        <w:rPr>
          <w:color w:val="000000"/>
          <w:rFonts w:ascii="仿宋_GB2312" w:hAnsi="仿宋_GB2312"/>
          <w:sz w:val="32"/>
          <w:szCs w:val="32"/>
          <w:shd w:fill="FFFFFF"/>
        </w:rPr>
        <w:t>按照综合预算的原则，烈山区财政局</w:t>
      </w:r>
      <w:r>
        <w:rPr>
          <w:color w:val="000000"/>
          <w:rFonts w:ascii="仿宋_GB2312" w:hAnsi="仿宋_GB2312"/>
          <w:sz w:val="32"/>
          <w:szCs w:val="32"/>
          <w:shd w:fill="FFFFFF"/>
        </w:rPr>
        <w:t>（本级）</w:t>
      </w:r>
      <w:r>
        <w:rPr>
          <w:color w:val="000000"/>
          <w:rFonts w:ascii="仿宋_GB2312" w:hAnsi="仿宋_GB2312"/>
          <w:sz w:val="32"/>
          <w:szCs w:val="32"/>
          <w:shd w:fill="FFFFFF"/>
        </w:rPr>
        <w:t>所有收入和支出均纳入部门预算管理。烈山区财政局</w:t>
      </w:r>
      <w:r>
        <w:rPr>
          <w:color w:val="000000"/>
          <w:rFonts w:ascii="仿宋_GB2312" w:hAnsi="仿宋_GB2312"/>
          <w:sz w:val="32"/>
          <w:szCs w:val="32"/>
          <w:shd w:fill="FFFFFF"/>
        </w:rPr>
        <w:t>（本级）2023</w:t>
      </w:r>
      <w:r>
        <w:rPr>
          <w:color w:val="000000"/>
          <w:rFonts w:ascii="仿宋_GB2312" w:hAnsi="仿宋_GB2312"/>
          <w:sz w:val="32"/>
          <w:szCs w:val="32"/>
          <w:shd w:fill="FFFFFF"/>
        </w:rPr>
        <w:t>年收支总预算</w:t>
      </w:r>
      <w:r>
        <w:rPr>
          <w:color w:val="000000"/>
          <w:rFonts w:ascii="仿宋_GB2312" w:hAnsi="仿宋_GB2312"/>
          <w:sz w:val="32"/>
          <w:szCs w:val="32"/>
          <w:shd w:fill="FFFFFF"/>
        </w:rPr>
        <w:t>788.92</w:t>
      </w:r>
      <w:r>
        <w:rPr>
          <w:color w:val="000000"/>
          <w:rFonts w:ascii="仿宋_GB2312" w:hAnsi="仿宋_GB2312"/>
          <w:sz w:val="32"/>
          <w:szCs w:val="32"/>
          <w:shd w:fill="FFFFFF"/>
        </w:rPr>
        <w:t>万元，收入</w:t>
      </w:r>
      <w:r>
        <w:rPr>
          <w:color w:val="000000"/>
          <w:rFonts w:ascii="仿宋_GB2312" w:hAnsi="仿宋_GB2312"/>
          <w:sz w:val="32"/>
          <w:szCs w:val="32"/>
          <w:shd w:fill="FFFFFF"/>
        </w:rPr>
        <w:t>全部是</w:t>
      </w:r>
      <w:r>
        <w:rPr>
          <w:color w:val="000000"/>
          <w:rFonts w:ascii="仿宋_GB2312" w:hAnsi="仿宋_GB2312"/>
          <w:sz w:val="32"/>
          <w:szCs w:val="32"/>
          <w:shd w:fill="FFFFFF"/>
        </w:rPr>
        <w:t>一般公共预算拨款收入</w:t>
      </w:r>
      <w:r>
        <w:rPr>
          <w:color w:val="000000"/>
          <w:rFonts w:ascii="仿宋_GB2312" w:hAnsi="仿宋_GB2312"/>
          <w:sz w:val="32"/>
          <w:szCs w:val="32"/>
          <w:shd w:fill="FFFFFF"/>
        </w:rPr>
        <w:t>。支出</w:t>
      </w:r>
      <w:r>
        <w:rPr>
          <w:color w:val="000000"/>
          <w:rFonts w:ascii="仿宋_GB2312" w:hAnsi="仿宋_GB2312"/>
          <w:sz w:val="32"/>
          <w:szCs w:val="32"/>
          <w:shd w:fill="FFFFFF"/>
        </w:rPr>
        <w:t>包括：一般公共服务支出</w:t>
      </w:r>
      <w:r>
        <w:rPr>
          <w:color w:val="000000"/>
          <w:rFonts w:ascii="仿宋_GB2312" w:hAnsi="仿宋_GB2312"/>
          <w:sz w:val="32"/>
          <w:szCs w:val="32"/>
          <w:shd w:fill="FFFFFF"/>
        </w:rPr>
        <w:t xml:space="preserve"> 446.03 </w:t>
      </w:r>
      <w:r>
        <w:rPr>
          <w:color w:val="000000"/>
          <w:rFonts w:ascii="仿宋_GB2312" w:hAnsi="仿宋_GB2312"/>
          <w:sz w:val="32"/>
          <w:szCs w:val="32"/>
          <w:shd w:fill="FFFFFF"/>
        </w:rPr>
        <w:t>万元，社会保障和就业支出</w:t>
      </w:r>
      <w:r>
        <w:rPr>
          <w:color w:val="000000"/>
          <w:rFonts w:ascii="仿宋_GB2312" w:hAnsi="仿宋_GB2312"/>
          <w:sz w:val="32"/>
          <w:szCs w:val="32"/>
          <w:shd w:fill="FFFFFF"/>
        </w:rPr>
        <w:t xml:space="preserve"> 44.18</w:t>
      </w:r>
      <w:r>
        <w:rPr>
          <w:color w:val="000000"/>
          <w:rFonts w:ascii="仿宋_GB2312" w:hAnsi="仿宋_GB2312"/>
          <w:sz w:val="32"/>
          <w:szCs w:val="32"/>
          <w:shd w:fill="FFFFFF"/>
        </w:rPr>
        <w:t>万元，卫生健康支出</w:t>
      </w:r>
      <w:r>
        <w:rPr>
          <w:color w:val="000000"/>
          <w:rFonts w:ascii="仿宋_GB2312" w:hAnsi="仿宋_GB2312"/>
          <w:sz w:val="32"/>
          <w:szCs w:val="32"/>
          <w:shd w:fill="FFFFFF"/>
        </w:rPr>
        <w:t>13.25</w:t>
      </w:r>
      <w:r>
        <w:rPr>
          <w:color w:val="000000"/>
          <w:rFonts w:ascii="仿宋_GB2312" w:hAnsi="仿宋_GB2312"/>
          <w:sz w:val="32"/>
          <w:szCs w:val="32"/>
          <w:shd w:fill="FFFFFF"/>
        </w:rPr>
        <w:t>万元，住房保障支出</w:t>
      </w:r>
      <w:r>
        <w:rPr>
          <w:color w:val="000000"/>
          <w:rFonts w:ascii="仿宋_GB2312" w:hAnsi="仿宋_GB2312"/>
          <w:sz w:val="32"/>
          <w:szCs w:val="32"/>
          <w:shd w:fill="FFFFFF"/>
        </w:rPr>
        <w:t>39.06</w:t>
      </w:r>
      <w:r>
        <w:rPr>
          <w:color w:val="000000"/>
          <w:rFonts w:ascii="仿宋_GB2312" w:hAnsi="仿宋_GB2312"/>
          <w:sz w:val="32"/>
          <w:szCs w:val="32"/>
          <w:shd w:fill="FFFFFF"/>
        </w:rPr>
        <w:t>万元，农林水事物支出</w:t>
      </w:r>
      <w:r>
        <w:rPr>
          <w:color w:val="000000"/>
          <w:rFonts w:ascii="仿宋_GB2312" w:hAnsi="仿宋_GB2312"/>
          <w:sz w:val="32"/>
          <w:szCs w:val="32"/>
          <w:shd w:fill="FFFFFF"/>
        </w:rPr>
        <w:t>240</w:t>
      </w:r>
      <w:r>
        <w:rPr>
          <w:color w:val="000000"/>
          <w:rFonts w:ascii="仿宋_GB2312" w:hAnsi="仿宋_GB2312"/>
          <w:sz w:val="32"/>
          <w:szCs w:val="32"/>
          <w:shd w:fill="FFFFFF"/>
        </w:rPr>
        <w:t>万元，</w:t>
      </w:r>
      <w:r>
        <w:rPr>
          <w:color w:val="000000"/>
          <w:rFonts w:ascii="仿宋_GB2312" w:hAnsi="仿宋_GB2312"/>
          <w:sz w:val="32"/>
          <w:szCs w:val="32"/>
          <w:shd w:fill="FFFFFF"/>
        </w:rPr>
        <w:t>城乡社区支出6.4万元</w:t>
      </w:r>
      <w:r>
        <w:rPr>
          <w:color w:val="000000"/>
          <w:rFonts w:ascii="仿宋_GB2312" w:hAnsi="仿宋_GB2312"/>
          <w:sz w:val="32"/>
          <w:szCs w:val="32"/>
          <w:shd w:fill="FFFFFF"/>
        </w:rPr>
        <w:t>。</w:t>
      </w:r>
    </w:p>
    <w:p>
      <w:pPr>
        <w:pStyle w:val=""/>
        <w:ind w:firstLine="627"/>
        <w:spacing w:before="0" w:after="0" w:line="600" w:lineRule="exact"/>
        <w:rPr>
          <w:color w:val="000000"/>
          <w:rFonts w:ascii="宋体" w:hAnsi="宋体"/>
          <w:sz w:val="32"/>
          <w:szCs w:val="32"/>
        </w:rPr>
      </w:pPr>
      <w:r>
        <w:rPr>
          <w:color w:val="000000"/>
          <w:rFonts w:ascii="黑体" w:hAnsi="宋体"/>
          <w:sz w:val="32"/>
          <w:szCs w:val="32"/>
          <w:shd w:fill="FFFFFF"/>
        </w:rPr>
        <w:t>二</w:t>
      </w:r>
      <w:r>
        <w:rPr>
          <w:color w:val="000000"/>
          <w:rFonts w:ascii="黑体" w:hAnsi="宋体"/>
          <w:sz w:val="32"/>
          <w:szCs w:val="32"/>
          <w:shd w:fill="FFFFFF"/>
        </w:rPr>
        <w:t>、关于</w:t>
      </w:r>
      <w:r>
        <w:rPr>
          <w:color w:val="000000"/>
          <w:rFonts w:ascii="黑体" w:hAnsi="宋体"/>
          <w:sz w:val="32"/>
          <w:szCs w:val="32"/>
          <w:shd w:fill="FFFFFF"/>
        </w:rPr>
        <w:t>2023</w:t>
      </w:r>
      <w:r>
        <w:rPr>
          <w:color w:val="000000"/>
          <w:rFonts w:ascii="黑体" w:hAnsi="宋体"/>
          <w:sz w:val="32"/>
          <w:szCs w:val="32"/>
          <w:shd w:fill="FFFFFF"/>
        </w:rPr>
        <w:t>年收入</w:t>
      </w:r>
      <w:r>
        <w:rPr>
          <w:color w:val="000000"/>
          <w:rFonts w:ascii="黑体" w:hAnsi="宋体"/>
          <w:sz w:val="32"/>
          <w:szCs w:val="32"/>
          <w:shd w:fill="FFFFFF"/>
        </w:rPr>
        <w:t>总表的</w:t>
      </w:r>
      <w:r>
        <w:rPr>
          <w:color w:val="000000"/>
          <w:rFonts w:ascii="黑体" w:hAnsi="宋体"/>
          <w:sz w:val="32"/>
          <w:szCs w:val="32"/>
          <w:shd w:fill="FFFFFF"/>
        </w:rPr>
        <w:t>说明</w:t>
      </w:r>
    </w:p>
    <w:p>
      <w:pPr>
        <w:pStyle w:val=""/>
        <w:ind w:firstLine="627"/>
        <w:spacing w:before="0" w:after="0" w:line="600" w:lineRule="exact"/>
        <w:rPr>
          <w:color w:val="000000"/>
          <w:rFonts w:ascii="仿宋_GB2312" w:hAnsi="仿宋_GB2312"/>
          <w:sz w:val="32"/>
          <w:szCs w:val="32"/>
        </w:rPr>
      </w:pPr>
      <w:r>
        <w:rPr>
          <w:color w:val="000000"/>
          <w:rFonts w:ascii="仿宋_GB2312" w:hAnsi="仿宋_GB2312"/>
          <w:sz w:val="32"/>
          <w:szCs w:val="32"/>
          <w:shd w:fill="FFFFFF"/>
        </w:rPr>
        <w:t>烈山区财政局</w:t>
      </w:r>
      <w:r>
        <w:rPr>
          <w:color w:val="000000"/>
          <w:rFonts w:ascii="仿宋_GB2312" w:hAnsi="仿宋_GB2312"/>
          <w:sz w:val="32"/>
          <w:szCs w:val="32"/>
          <w:shd w:fill="FFFFFF"/>
        </w:rPr>
        <w:t>2023</w:t>
      </w:r>
      <w:r>
        <w:rPr>
          <w:color w:val="000000"/>
          <w:rFonts w:ascii="仿宋_GB2312" w:hAnsi="仿宋_GB2312"/>
          <w:sz w:val="32"/>
          <w:szCs w:val="32"/>
          <w:shd w:fill="FFFFFF"/>
        </w:rPr>
        <w:t>年收入预算</w:t>
      </w:r>
      <w:r>
        <w:rPr>
          <w:color w:val="000000"/>
          <w:rFonts w:ascii="仿宋_GB2312" w:hAnsi="仿宋_GB2312"/>
          <w:sz w:val="32"/>
          <w:szCs w:val="32"/>
          <w:shd w:fill="FFFFFF"/>
        </w:rPr>
        <w:t>788.92</w:t>
      </w:r>
      <w:r>
        <w:rPr>
          <w:color w:val="000000"/>
          <w:rFonts w:ascii="仿宋_GB2312" w:hAnsi="仿宋_GB2312"/>
          <w:sz w:val="32"/>
          <w:szCs w:val="32"/>
          <w:shd w:fill="FFFFFF"/>
        </w:rPr>
        <w:t>万元，收入</w:t>
      </w:r>
      <w:r>
        <w:rPr>
          <w:color w:val="000000"/>
          <w:rFonts w:ascii="仿宋_GB2312" w:hAnsi="仿宋_GB2312"/>
          <w:sz w:val="32"/>
          <w:szCs w:val="32"/>
          <w:shd w:fill="FFFFFF"/>
        </w:rPr>
        <w:t>全部是</w:t>
      </w:r>
      <w:r>
        <w:rPr>
          <w:color w:val="000000"/>
          <w:rFonts w:ascii="仿宋_GB2312" w:hAnsi="仿宋_GB2312"/>
          <w:sz w:val="32"/>
          <w:szCs w:val="32"/>
          <w:shd w:fill="FFFFFF"/>
        </w:rPr>
        <w:t>一般公共预算拨款收入</w:t>
      </w:r>
      <w:r>
        <w:rPr>
          <w:color w:val="000000"/>
          <w:rFonts w:ascii="仿宋_GB2312" w:hAnsi="仿宋_GB2312"/>
          <w:sz w:val="32"/>
          <w:szCs w:val="32"/>
          <w:shd w:fill="FFFFFF"/>
        </w:rPr>
        <w:t>，</w:t>
      </w:r>
      <w:r>
        <w:rPr>
          <w:color w:val="000000"/>
          <w:rFonts w:ascii="仿宋_GB2312" w:hAnsi="仿宋_GB2312"/>
          <w:sz w:val="32"/>
          <w:szCs w:val="32"/>
          <w:shd w:fill="FFFFFF"/>
        </w:rPr>
        <w:t>比202</w:t>
      </w:r>
      <w:r>
        <w:rPr>
          <w:color w:val="000000"/>
          <w:rFonts w:ascii="仿宋_GB2312" w:hAnsi="仿宋_GB2312"/>
          <w:sz w:val="32"/>
          <w:szCs w:val="32"/>
          <w:shd w:fill="FFFFFF"/>
        </w:rPr>
        <w:t>2</w:t>
      </w:r>
      <w:r>
        <w:rPr>
          <w:color w:val="000000"/>
          <w:rFonts w:ascii="仿宋_GB2312" w:hAnsi="仿宋_GB2312"/>
          <w:sz w:val="32"/>
          <w:szCs w:val="32"/>
          <w:shd w:fill="FFFFFF"/>
        </w:rPr>
        <w:t>年预算</w:t>
      </w:r>
      <w:r>
        <w:rPr>
          <w:color w:val="000000"/>
          <w:rFonts w:ascii="仿宋_GB2312" w:hAnsi="仿宋_GB2312"/>
          <w:sz w:val="32"/>
          <w:szCs w:val="32"/>
          <w:shd w:fill="FFFFFF"/>
        </w:rPr>
        <w:t>增加</w:t>
      </w:r>
      <w:r>
        <w:rPr>
          <w:color w:val="000000"/>
          <w:rFonts w:ascii="仿宋_GB2312" w:hAnsi="仿宋_GB2312"/>
          <w:sz w:val="32"/>
          <w:szCs w:val="32"/>
          <w:shd w:fill="FFFFFF"/>
        </w:rPr>
        <w:t>52.08</w:t>
      </w:r>
      <w:r>
        <w:rPr>
          <w:color w:val="000000"/>
          <w:rFonts w:ascii="仿宋_GB2312" w:hAnsi="仿宋_GB2312"/>
          <w:sz w:val="32"/>
          <w:szCs w:val="32"/>
          <w:shd w:fill="FFFFFF"/>
        </w:rPr>
        <w:t>万元，</w:t>
      </w:r>
      <w:r>
        <w:rPr>
          <w:color w:val="000000"/>
          <w:rFonts w:ascii="仿宋_GB2312" w:hAnsi="仿宋_GB2312"/>
          <w:sz w:val="32"/>
          <w:szCs w:val="32"/>
          <w:shd w:fill="FFFFFF"/>
        </w:rPr>
        <w:t>增长</w:t>
      </w:r>
      <w:r>
        <w:rPr>
          <w:color w:val="000000"/>
          <w:rFonts w:ascii="仿宋_GB2312" w:hAnsi="仿宋_GB2312"/>
          <w:sz w:val="32"/>
          <w:szCs w:val="32"/>
          <w:shd w:fill="FFFFFF"/>
        </w:rPr>
        <w:t>7.07</w:t>
      </w:r>
      <w:r>
        <w:rPr>
          <w:color w:val="000000"/>
          <w:rFonts w:ascii="仿宋_GB2312" w:hAnsi="仿宋_GB2312"/>
          <w:sz w:val="32"/>
          <w:szCs w:val="32"/>
          <w:shd w:fill="FFFFFF"/>
        </w:rPr>
        <w:t>%，</w:t>
      </w:r>
      <w:r>
        <w:rPr>
          <w:color w:val="000000"/>
          <w:rFonts w:ascii="仿宋_GB2312" w:hAnsi="仿宋_GB2312"/>
          <w:sz w:val="32"/>
          <w:szCs w:val="32"/>
          <w:shd w:fill="FFFFFF"/>
        </w:rPr>
        <w:t>增长</w:t>
      </w:r>
      <w:r>
        <w:rPr>
          <w:color w:val="000000"/>
          <w:rFonts w:ascii="仿宋_GB2312" w:hAnsi="仿宋_GB2312"/>
          <w:sz w:val="32"/>
          <w:szCs w:val="32"/>
          <w:shd w:fill="FFFFFF"/>
        </w:rPr>
        <w:t>原因主要</w:t>
      </w:r>
      <w:r>
        <w:rPr>
          <w:color w:val="000000"/>
          <w:rFonts w:ascii="仿宋_GB2312" w:hAnsi="仿宋_GB2312"/>
          <w:sz w:val="32"/>
          <w:szCs w:val="32"/>
          <w:shd w:fill="FFFFFF"/>
        </w:rPr>
        <w:t>是一般公共服务支出调增、新增人员、工资和保险调增等。</w:t>
      </w:r>
    </w:p>
    <w:p>
      <w:pPr>
        <w:pStyle w:val=""/>
        <w:jc w:val="both"/>
        <w:ind w:firstLine="640"/>
        <w:spacing w:before="0" w:after="0" w:line="600" w:lineRule="exact"/>
        <w:rPr>
          <w:color w:val="000000"/>
          <w:rFonts w:ascii="Times New Roman" w:hAnsi="Times New Roman"/>
          <w:sz w:val="32"/>
          <w:szCs w:val="32"/>
        </w:rPr>
      </w:pPr>
      <w:r>
        <w:rPr>
          <w:color w:val="000000"/>
          <w:rFonts w:ascii="黑体" w:hAnsi="宋体"/>
          <w:sz w:val="32"/>
          <w:szCs w:val="32"/>
          <w:shd w:fill="FFFFFF"/>
        </w:rPr>
        <w:t>三</w:t>
      </w:r>
      <w:r>
        <w:rPr>
          <w:color w:val="000000"/>
          <w:rFonts w:ascii="黑体" w:hAnsi="宋体"/>
          <w:sz w:val="32"/>
          <w:szCs w:val="32"/>
          <w:shd w:fill="FFFFFF"/>
        </w:rPr>
        <w:t>、关于</w:t>
      </w:r>
      <w:r>
        <w:rPr>
          <w:color w:val="000000"/>
          <w:rFonts w:ascii="黑体" w:hAnsi="宋体"/>
          <w:sz w:val="32"/>
          <w:szCs w:val="32"/>
          <w:shd w:fill="FFFFFF"/>
        </w:rPr>
        <w:t>2023</w:t>
      </w:r>
      <w:r>
        <w:rPr>
          <w:color w:val="000000"/>
          <w:rFonts w:ascii="黑体" w:hAnsi="宋体"/>
          <w:sz w:val="32"/>
          <w:szCs w:val="32"/>
          <w:shd w:fill="FFFFFF"/>
        </w:rPr>
        <w:t>年支出</w:t>
      </w:r>
      <w:r>
        <w:rPr>
          <w:color w:val="000000"/>
          <w:rFonts w:ascii="黑体" w:hAnsi="宋体"/>
          <w:sz w:val="32"/>
          <w:szCs w:val="32"/>
          <w:shd w:fill="FFFFFF"/>
        </w:rPr>
        <w:t>总表的</w:t>
      </w:r>
      <w:r>
        <w:rPr>
          <w:color w:val="000000"/>
          <w:rFonts w:ascii="黑体" w:hAnsi="宋体"/>
          <w:sz w:val="32"/>
          <w:szCs w:val="32"/>
          <w:shd w:fill="FFFFFF"/>
        </w:rPr>
        <w:t>说明</w:t>
      </w:r>
    </w:p>
    <w:p>
      <w:pPr>
        <w:pStyle w:val=""/>
        <w:ind w:firstLine="627"/>
        <w:spacing w:before="0" w:after="0" w:line="600" w:lineRule="exact"/>
        <w:rPr>
          <w:color w:val="000000"/>
          <w:rFonts w:ascii="仿宋_GB2312" w:hAnsi="仿宋"/>
          <w:sz w:val="32"/>
          <w:szCs w:val="32"/>
          <w:shd w:fill="FFFFFF"/>
        </w:rPr>
      </w:pPr>
      <w:r>
        <w:rPr>
          <w:color w:val="000000"/>
          <w:rFonts w:ascii="仿宋_GB2312" w:hAnsi="仿宋_GB2312"/>
          <w:sz w:val="32"/>
          <w:szCs w:val="32"/>
          <w:shd w:fill="FFFFFF"/>
        </w:rPr>
        <w:t>烈山区财政局</w:t>
      </w:r>
      <w:r>
        <w:rPr>
          <w:color w:val="000000"/>
          <w:rFonts w:ascii="仿宋_GB2312" w:hAnsi="仿宋_GB2312"/>
          <w:sz w:val="32"/>
          <w:szCs w:val="32"/>
          <w:shd w:fill="FFFFFF"/>
        </w:rPr>
        <w:t>2023</w:t>
      </w:r>
      <w:r>
        <w:rPr>
          <w:color w:val="000000"/>
          <w:rFonts w:ascii="仿宋_GB2312" w:hAnsi="仿宋_GB2312"/>
          <w:sz w:val="32"/>
          <w:szCs w:val="32"/>
          <w:shd w:fill="FFFFFF"/>
        </w:rPr>
        <w:t>年支出预算</w:t>
      </w:r>
      <w:r>
        <w:rPr>
          <w:color w:val="000000"/>
          <w:rFonts w:ascii="仿宋_GB2312" w:hAnsi="仿宋_GB2312"/>
          <w:sz w:val="32"/>
          <w:szCs w:val="32"/>
          <w:shd w:fill="FFFFFF"/>
        </w:rPr>
        <w:t>788.92</w:t>
      </w:r>
      <w:r>
        <w:rPr>
          <w:color w:val="000000"/>
          <w:rFonts w:ascii="仿宋_GB2312" w:hAnsi="仿宋_GB2312"/>
          <w:sz w:val="32"/>
          <w:szCs w:val="32"/>
          <w:shd w:fill="FFFFFF"/>
        </w:rPr>
        <w:t>万元，比202</w:t>
      </w:r>
      <w:r>
        <w:rPr>
          <w:color w:val="000000"/>
          <w:rFonts w:ascii="仿宋_GB2312" w:hAnsi="仿宋_GB2312"/>
          <w:sz w:val="32"/>
          <w:szCs w:val="32"/>
          <w:shd w:fill="FFFFFF"/>
        </w:rPr>
        <w:t>2</w:t>
      </w:r>
      <w:r>
        <w:rPr>
          <w:color w:val="000000"/>
          <w:rFonts w:ascii="仿宋_GB2312" w:hAnsi="仿宋_GB2312"/>
          <w:sz w:val="32"/>
          <w:szCs w:val="32"/>
          <w:shd w:fill="FFFFFF"/>
        </w:rPr>
        <w:t>年预算拨款增加</w:t>
      </w:r>
      <w:r>
        <w:rPr>
          <w:color w:val="000000"/>
          <w:rFonts w:ascii="仿宋_GB2312" w:hAnsi="仿宋_GB2312"/>
          <w:sz w:val="32"/>
          <w:szCs w:val="32"/>
          <w:shd w:fill="FFFFFF"/>
        </w:rPr>
        <w:t>52.08</w:t>
      </w:r>
      <w:r>
        <w:rPr>
          <w:color w:val="000000"/>
          <w:rFonts w:ascii="仿宋_GB2312" w:hAnsi="仿宋_GB2312"/>
          <w:sz w:val="32"/>
          <w:szCs w:val="32"/>
          <w:shd w:fill="FFFFFF"/>
        </w:rPr>
        <w:t>万元，增长</w:t>
      </w:r>
      <w:r>
        <w:rPr>
          <w:color w:val="000000"/>
          <w:rFonts w:ascii="仿宋_GB2312" w:hAnsi="仿宋_GB2312"/>
          <w:sz w:val="32"/>
          <w:szCs w:val="32"/>
          <w:shd w:fill="FFFFFF"/>
        </w:rPr>
        <w:t>7.07</w:t>
      </w:r>
      <w:r>
        <w:rPr>
          <w:color w:val="000000"/>
          <w:rFonts w:ascii="仿宋_GB2312" w:hAnsi="仿宋_GB2312"/>
          <w:sz w:val="32"/>
          <w:szCs w:val="32"/>
          <w:shd w:fill="FFFFFF"/>
        </w:rPr>
        <w:t>%，原因主要</w:t>
      </w:r>
      <w:r>
        <w:rPr>
          <w:color w:val="000000"/>
          <w:rFonts w:ascii="仿宋_GB2312" w:hAnsi="仿宋_GB2312"/>
          <w:sz w:val="32"/>
          <w:szCs w:val="32"/>
          <w:shd w:fill="FFFFFF"/>
        </w:rPr>
        <w:t>一般公共服务支出调增、新增人员、工资和保险调增等。</w:t>
      </w:r>
      <w:r>
        <w:rPr>
          <w:color w:val="000000"/>
          <w:rFonts w:ascii="仿宋_GB2312" w:hAnsi="仿宋_GB2312"/>
          <w:sz w:val="32"/>
          <w:szCs w:val="32"/>
          <w:shd w:fill="FFFFFF"/>
        </w:rPr>
        <w:t>其中，基本支出</w:t>
      </w:r>
      <w:r>
        <w:rPr>
          <w:color w:val="000000"/>
          <w:rFonts w:ascii="仿宋_GB2312" w:hAnsi="仿宋_GB2312"/>
          <w:sz w:val="32"/>
          <w:szCs w:val="32"/>
          <w:shd w:fill="FFFFFF"/>
        </w:rPr>
        <w:t>316.92</w:t>
      </w:r>
      <w:r>
        <w:rPr>
          <w:color w:val="000000"/>
          <w:rFonts w:ascii="仿宋_GB2312" w:hAnsi="仿宋_GB2312"/>
          <w:sz w:val="32"/>
          <w:szCs w:val="32"/>
          <w:shd w:fill="FFFFFF"/>
        </w:rPr>
        <w:t>万元，占</w:t>
      </w:r>
      <w:r>
        <w:rPr>
          <w:color w:val="000000"/>
          <w:rFonts w:ascii="仿宋_GB2312" w:hAnsi="仿宋_GB2312"/>
          <w:sz w:val="32"/>
          <w:szCs w:val="32"/>
          <w:shd w:fill="FFFFFF"/>
        </w:rPr>
        <w:t>40.17</w:t>
      </w:r>
      <w:r>
        <w:rPr>
          <w:color w:val="000000"/>
          <w:rFonts w:ascii="仿宋_GB2312" w:hAnsi="仿宋_GB2312"/>
          <w:sz w:val="32"/>
          <w:szCs w:val="32"/>
          <w:shd w:fill="FFFFFF"/>
        </w:rPr>
        <w:t>%，主要用于保障机构日常运转、完成日常工作任务等；项目支出</w:t>
      </w:r>
      <w:r>
        <w:rPr>
          <w:color w:val="000000"/>
          <w:rFonts w:ascii="仿宋_GB2312" w:hAnsi="仿宋_GB2312"/>
          <w:sz w:val="32"/>
          <w:szCs w:val="32"/>
          <w:shd w:fill="FFFFFF"/>
        </w:rPr>
        <w:t>472</w:t>
      </w:r>
      <w:r>
        <w:rPr>
          <w:color w:val="000000"/>
          <w:rFonts w:ascii="仿宋_GB2312" w:hAnsi="仿宋_GB2312"/>
          <w:sz w:val="32"/>
          <w:szCs w:val="32"/>
          <w:shd w:fill="FFFFFF"/>
        </w:rPr>
        <w:t>万元，占</w:t>
      </w:r>
      <w:r>
        <w:rPr>
          <w:color w:val="000000"/>
          <w:rFonts w:ascii="仿宋_GB2312" w:hAnsi="仿宋_GB2312"/>
          <w:sz w:val="32"/>
          <w:szCs w:val="32"/>
          <w:shd w:fill="FFFFFF"/>
        </w:rPr>
        <w:t>59.82</w:t>
      </w:r>
      <w:r>
        <w:rPr>
          <w:color w:val="000000"/>
          <w:rFonts w:ascii="仿宋_GB2312" w:hAnsi="仿宋_GB2312"/>
          <w:sz w:val="32"/>
          <w:szCs w:val="32"/>
          <w:shd w:fill="FFFFFF"/>
        </w:rPr>
        <w:t>%，主要用于农村公益事业财政奖补、政策性农业保险、财政各类软件服务费等。</w:t>
      </w:r>
    </w:p>
    <w:p>
      <w:pPr>
        <w:pStyle w:val=""/>
        <w:ind w:firstLine="640"/>
        <w:spacing w:before="0" w:after="0" w:line="600" w:lineRule="exact"/>
        <w:rPr>
          <w:color w:val="000000"/>
          <w:rFonts w:ascii="宋体" w:hAnsi="宋体"/>
        </w:rPr>
      </w:pPr>
      <w:r>
        <w:rPr>
          <w:color w:val="000000"/>
          <w:rFonts w:ascii="黑体" w:hAnsi="宋体"/>
          <w:sz w:val="32"/>
          <w:szCs w:val="32"/>
          <w:shd w:fill="FFFFFF"/>
        </w:rPr>
        <w:t>四</w:t>
      </w:r>
      <w:r>
        <w:rPr>
          <w:color w:val="000000"/>
          <w:rFonts w:ascii="黑体" w:hAnsi="宋体"/>
          <w:sz w:val="32"/>
          <w:szCs w:val="32"/>
          <w:shd w:fill="FFFFFF"/>
        </w:rPr>
        <w:t>、关于</w:t>
      </w:r>
      <w:r>
        <w:rPr>
          <w:color w:val="000000"/>
          <w:rFonts w:ascii="黑体" w:hAnsi="宋体"/>
          <w:sz w:val="32"/>
          <w:szCs w:val="32"/>
          <w:shd w:fill="FFFFFF"/>
        </w:rPr>
        <w:t>2023</w:t>
      </w:r>
      <w:r>
        <w:rPr>
          <w:color w:val="000000"/>
          <w:rFonts w:ascii="黑体" w:hAnsi="宋体"/>
          <w:sz w:val="32"/>
          <w:szCs w:val="32"/>
          <w:shd w:fill="FFFFFF"/>
        </w:rPr>
        <w:t>年财政拨款收支</w:t>
      </w:r>
      <w:r>
        <w:rPr>
          <w:color w:val="000000"/>
          <w:rFonts w:ascii="黑体" w:hAnsi="宋体"/>
          <w:sz w:val="32"/>
          <w:szCs w:val="32"/>
          <w:shd w:fill="FFFFFF"/>
        </w:rPr>
        <w:t>总表的</w:t>
      </w:r>
      <w:r>
        <w:rPr>
          <w:color w:val="000000"/>
          <w:rFonts w:ascii="黑体" w:hAnsi="宋体"/>
          <w:sz w:val="32"/>
          <w:szCs w:val="32"/>
          <w:shd w:fill="FFFFFF"/>
        </w:rPr>
        <w:t>说明</w:t>
      </w:r>
    </w:p>
    <w:p>
      <w:pPr>
        <w:pStyle w:val=""/>
        <w:ind w:firstLine="640"/>
        <w:spacing w:before="0" w:after="0" w:line="600" w:lineRule="exact"/>
        <w:rPr>
          <w:color w:val="000000"/>
          <w:rFonts w:ascii="宋体" w:hAnsi="宋体"/>
        </w:rPr>
      </w:pPr>
      <w:r>
        <w:rPr>
          <w:color w:val="000000"/>
          <w:rFonts w:ascii="仿宋_GB2312" w:hAnsi="仿宋_GB2312"/>
          <w:sz w:val="32"/>
          <w:szCs w:val="32"/>
          <w:shd w:fill="FFFFFF"/>
        </w:rPr>
        <w:t>烈山区财政局</w:t>
      </w:r>
      <w:r>
        <w:rPr>
          <w:color w:val="000000"/>
          <w:rFonts w:ascii="仿宋_GB2312" w:hAnsi="仿宋_GB2312"/>
          <w:sz w:val="32"/>
          <w:szCs w:val="32"/>
          <w:shd w:fill="FFFFFF"/>
        </w:rPr>
        <w:t>2023</w:t>
      </w:r>
      <w:r>
        <w:rPr>
          <w:color w:val="000000"/>
          <w:rFonts w:ascii="仿宋_GB2312" w:hAnsi="仿宋_GB2312"/>
          <w:sz w:val="32"/>
          <w:szCs w:val="32"/>
          <w:shd w:fill="FFFFFF"/>
        </w:rPr>
        <w:t>年财政拨款收支预算</w:t>
      </w:r>
      <w:r>
        <w:rPr>
          <w:color w:val="000000"/>
          <w:rFonts w:ascii="仿宋_GB2312" w:hAnsi="仿宋_GB2312"/>
          <w:sz w:val="32"/>
          <w:szCs w:val="32"/>
          <w:shd w:fill="FFFFFF"/>
        </w:rPr>
        <w:t>788.92</w:t>
      </w:r>
      <w:r>
        <w:rPr>
          <w:color w:val="000000"/>
          <w:rFonts w:ascii="仿宋_GB2312" w:hAnsi="仿宋_GB2312"/>
          <w:sz w:val="32"/>
          <w:szCs w:val="32"/>
          <w:shd w:fill="FFFFFF"/>
        </w:rPr>
        <w:t>万元。收入按资金来源</w:t>
      </w:r>
      <w:r>
        <w:rPr>
          <w:color w:val="000000"/>
          <w:rFonts w:ascii="仿宋_GB2312" w:hAnsi="仿宋_GB2312"/>
          <w:sz w:val="32"/>
          <w:szCs w:val="32"/>
          <w:shd w:fill="FFFFFF"/>
        </w:rPr>
        <w:t>全部为</w:t>
      </w:r>
      <w:r>
        <w:rPr>
          <w:color w:val="000000"/>
          <w:rFonts w:ascii="仿宋_GB2312" w:hAnsi="仿宋_GB2312"/>
          <w:sz w:val="32"/>
          <w:szCs w:val="32"/>
          <w:shd w:fill="FFFFFF"/>
        </w:rPr>
        <w:t>一般公共预算拨款</w:t>
      </w:r>
      <w:r>
        <w:rPr>
          <w:color w:val="000000"/>
          <w:rFonts w:ascii="仿宋_GB2312" w:hAnsi="仿宋_GB2312"/>
          <w:sz w:val="32"/>
          <w:szCs w:val="32"/>
          <w:shd w:fill="FFFFFF"/>
        </w:rPr>
        <w:t>788.92万元</w:t>
      </w:r>
      <w:r>
        <w:rPr>
          <w:color w:val="000000"/>
          <w:rFonts w:ascii="仿宋_GB2312" w:hAnsi="仿宋_GB2312"/>
          <w:sz w:val="32"/>
          <w:szCs w:val="32"/>
          <w:shd w:fill="FFFFFF"/>
        </w:rPr>
        <w:t>；按资金年度</w:t>
      </w:r>
      <w:r>
        <w:rPr>
          <w:color w:val="000000"/>
          <w:rFonts w:ascii="仿宋_GB2312" w:hAnsi="仿宋_GB2312"/>
          <w:sz w:val="32"/>
          <w:szCs w:val="32"/>
          <w:shd w:fill="FFFFFF"/>
        </w:rPr>
        <w:t>全部为当年财政拨款收入</w:t>
      </w:r>
      <w:r>
        <w:rPr>
          <w:color w:val="000000"/>
          <w:rFonts w:ascii="仿宋_GB2312" w:hAnsi="仿宋_GB2312"/>
          <w:sz w:val="32"/>
          <w:szCs w:val="32"/>
          <w:shd w:fill="FFFFFF"/>
        </w:rPr>
        <w:t>788.92万元。按</w:t>
      </w:r>
      <w:r>
        <w:rPr>
          <w:color w:val="000000"/>
          <w:rFonts w:ascii="仿宋_GB2312" w:hAnsi="仿宋_GB2312"/>
          <w:sz w:val="32"/>
          <w:szCs w:val="32"/>
          <w:shd w:fill="FFFFFF"/>
        </w:rPr>
        <w:t>支出功</w:t>
      </w:r>
      <w:r>
        <w:rPr>
          <w:color w:val="000000"/>
          <w:rFonts w:ascii="仿宋" w:hAnsi="仿宋"/>
          <w:sz w:val="32"/>
          <w:szCs w:val="32"/>
          <w:shd w:fill="FFFFFF"/>
        </w:rPr>
        <w:t>能分类分为：一般公共服务支出</w:t>
      </w:r>
      <w:r>
        <w:rPr>
          <w:color w:val="000000"/>
          <w:rFonts w:ascii="仿宋" w:hAnsi="仿宋"/>
          <w:sz w:val="32"/>
          <w:szCs w:val="32"/>
          <w:shd w:fill="FFFFFF"/>
        </w:rPr>
        <w:t>446.03</w:t>
      </w:r>
      <w:r>
        <w:rPr>
          <w:color w:val="000000"/>
          <w:rFonts w:ascii="仿宋" w:hAnsi="仿宋"/>
          <w:sz w:val="32"/>
          <w:szCs w:val="32"/>
          <w:shd w:fill="FFFFFF"/>
        </w:rPr>
        <w:t>万元，占</w:t>
      </w:r>
      <w:r>
        <w:rPr>
          <w:color w:val="000000"/>
          <w:rFonts w:ascii="仿宋" w:hAnsi="仿宋"/>
          <w:sz w:val="32"/>
          <w:szCs w:val="32"/>
          <w:shd w:fill="FFFFFF"/>
        </w:rPr>
        <w:t>56.54</w:t>
      </w:r>
      <w:r>
        <w:rPr>
          <w:color w:val="000000"/>
          <w:rFonts w:ascii="仿宋" w:hAnsi="仿宋"/>
          <w:sz w:val="32"/>
          <w:szCs w:val="32"/>
          <w:shd w:fill="FFFFFF"/>
        </w:rPr>
        <w:t>%；社会保障和就业支出</w:t>
      </w:r>
      <w:r>
        <w:rPr>
          <w:color w:val="000000"/>
          <w:rFonts w:ascii="仿宋" w:hAnsi="仿宋"/>
          <w:sz w:val="32"/>
          <w:szCs w:val="32"/>
          <w:shd w:fill="FFFFFF"/>
        </w:rPr>
        <w:t>44.18</w:t>
      </w:r>
      <w:r>
        <w:rPr>
          <w:color w:val="000000"/>
          <w:rFonts w:ascii="仿宋" w:hAnsi="仿宋"/>
          <w:sz w:val="32"/>
          <w:szCs w:val="32"/>
          <w:shd w:fill="FFFFFF"/>
        </w:rPr>
        <w:t>万元，占</w:t>
      </w:r>
      <w:r>
        <w:rPr>
          <w:color w:val="000000"/>
          <w:rFonts w:ascii="仿宋" w:hAnsi="仿宋"/>
          <w:sz w:val="32"/>
          <w:szCs w:val="32"/>
          <w:shd w:fill="FFFFFF"/>
        </w:rPr>
        <w:t>5.60</w:t>
      </w:r>
      <w:r>
        <w:rPr>
          <w:color w:val="000000"/>
          <w:rFonts w:ascii="仿宋" w:hAnsi="仿宋"/>
          <w:sz w:val="32"/>
          <w:szCs w:val="32"/>
          <w:shd w:fill="FFFFFF"/>
        </w:rPr>
        <w:t>%；卫生健康支出</w:t>
      </w:r>
      <w:r>
        <w:rPr>
          <w:color w:val="000000"/>
          <w:rFonts w:ascii="仿宋" w:hAnsi="仿宋"/>
          <w:sz w:val="32"/>
          <w:szCs w:val="32"/>
          <w:shd w:fill="FFFFFF"/>
        </w:rPr>
        <w:t>13.25</w:t>
      </w:r>
      <w:r>
        <w:rPr>
          <w:color w:val="000000"/>
          <w:rFonts w:ascii="仿宋" w:hAnsi="仿宋"/>
          <w:sz w:val="32"/>
          <w:szCs w:val="32"/>
          <w:shd w:fill="FFFFFF"/>
        </w:rPr>
        <w:t>万元，占</w:t>
      </w:r>
      <w:r>
        <w:rPr>
          <w:color w:val="000000"/>
          <w:rFonts w:ascii="仿宋" w:hAnsi="仿宋"/>
          <w:sz w:val="32"/>
          <w:szCs w:val="32"/>
          <w:shd w:fill="FFFFFF"/>
        </w:rPr>
        <w:t>1.68</w:t>
      </w:r>
      <w:r>
        <w:rPr>
          <w:color w:val="000000"/>
          <w:rFonts w:ascii="仿宋" w:hAnsi="仿宋"/>
          <w:sz w:val="32"/>
          <w:szCs w:val="32"/>
          <w:shd w:fill="FFFFFF"/>
        </w:rPr>
        <w:t>%；住房保障支出</w:t>
      </w:r>
      <w:r>
        <w:rPr>
          <w:color w:val="000000"/>
          <w:rFonts w:ascii="仿宋" w:hAnsi="仿宋"/>
          <w:sz w:val="32"/>
          <w:szCs w:val="32"/>
          <w:shd w:fill="FFFFFF"/>
        </w:rPr>
        <w:t>39.06</w:t>
      </w:r>
      <w:r>
        <w:rPr>
          <w:color w:val="000000"/>
          <w:rFonts w:ascii="仿宋" w:hAnsi="仿宋"/>
          <w:sz w:val="32"/>
          <w:szCs w:val="32"/>
          <w:shd w:fill="FFFFFF"/>
        </w:rPr>
        <w:t>万元，占</w:t>
      </w:r>
      <w:r>
        <w:rPr>
          <w:color w:val="000000"/>
          <w:rFonts w:ascii="仿宋" w:hAnsi="仿宋"/>
          <w:sz w:val="32"/>
          <w:szCs w:val="32"/>
          <w:shd w:fill="FFFFFF"/>
        </w:rPr>
        <w:t>4.95</w:t>
      </w:r>
      <w:r>
        <w:rPr>
          <w:color w:val="000000"/>
          <w:rFonts w:ascii="仿宋" w:hAnsi="仿宋"/>
          <w:sz w:val="32"/>
          <w:szCs w:val="32"/>
          <w:shd w:fill="FFFFFF"/>
        </w:rPr>
        <w:t>%；农林水事物支出240万元，占</w:t>
      </w:r>
      <w:r>
        <w:rPr>
          <w:color w:val="000000"/>
          <w:rFonts w:ascii="仿宋" w:hAnsi="仿宋"/>
          <w:sz w:val="32"/>
          <w:szCs w:val="32"/>
          <w:shd w:fill="FFFFFF"/>
        </w:rPr>
        <w:t>30.42</w:t>
      </w:r>
      <w:r>
        <w:rPr>
          <w:color w:val="000000"/>
          <w:rFonts w:ascii="仿宋" w:hAnsi="仿宋"/>
          <w:sz w:val="32"/>
          <w:szCs w:val="32"/>
          <w:shd w:fill="FFFFFF"/>
        </w:rPr>
        <w:t xml:space="preserve"> %</w:t>
      </w:r>
      <w:r>
        <w:rPr>
          <w:color w:val="000000"/>
          <w:rFonts w:ascii="仿宋" w:hAnsi="仿宋"/>
          <w:sz w:val="32"/>
          <w:szCs w:val="32"/>
          <w:shd w:fill="FFFFFF"/>
        </w:rPr>
        <w:t>;城乡社区支出6.4万元，</w:t>
      </w:r>
      <w:r>
        <w:rPr>
          <w:color w:val="000000"/>
          <w:rFonts w:ascii="仿宋" w:hAnsi="仿宋"/>
          <w:sz w:val="32"/>
          <w:szCs w:val="32"/>
          <w:shd w:fill="FFFFFF"/>
        </w:rPr>
        <w:t>占</w:t>
      </w:r>
      <w:r>
        <w:rPr>
          <w:color w:val="000000"/>
          <w:rFonts w:ascii="仿宋" w:hAnsi="仿宋"/>
          <w:sz w:val="32"/>
          <w:szCs w:val="32"/>
          <w:shd w:fill="FFFFFF"/>
        </w:rPr>
        <w:t>0.81</w:t>
      </w:r>
      <w:r>
        <w:rPr>
          <w:color w:val="000000"/>
          <w:rFonts w:ascii="仿宋" w:hAnsi="仿宋"/>
          <w:sz w:val="32"/>
          <w:szCs w:val="32"/>
          <w:shd w:fill="FFFFFF"/>
        </w:rPr>
        <w:t xml:space="preserve"> %</w:t>
      </w:r>
      <w:r>
        <w:rPr>
          <w:color w:val="000000"/>
          <w:rFonts w:ascii="仿宋" w:hAnsi="仿宋"/>
          <w:sz w:val="32"/>
          <w:szCs w:val="32"/>
          <w:shd w:fill="FFFFFF"/>
        </w:rPr>
        <w:t>。</w:t>
      </w:r>
    </w:p>
    <w:p>
      <w:pPr>
        <w:pStyle w:val=""/>
        <w:ind w:firstLine="640"/>
        <w:spacing w:before="0" w:after="0" w:line="600" w:lineRule="exact"/>
        <w:rPr>
          <w:color w:val="000000"/>
          <w:rFonts w:ascii="宋体" w:hAnsi="宋体"/>
          <w:sz w:val="32"/>
          <w:szCs w:val="32"/>
        </w:rPr>
      </w:pPr>
      <w:r>
        <w:rPr>
          <w:color w:val="000000"/>
          <w:rFonts w:ascii="黑体" w:hAnsi="宋体"/>
          <w:sz w:val="32"/>
          <w:szCs w:val="32"/>
          <w:shd w:fill="FFFFFF"/>
        </w:rPr>
        <w:t>五</w:t>
      </w:r>
      <w:r>
        <w:rPr>
          <w:color w:val="000000"/>
          <w:rFonts w:ascii="黑体" w:hAnsi="宋体"/>
          <w:sz w:val="32"/>
          <w:szCs w:val="32"/>
          <w:shd w:fill="FFFFFF"/>
        </w:rPr>
        <w:t>、关于</w:t>
      </w:r>
      <w:r>
        <w:rPr>
          <w:color w:val="000000"/>
          <w:rFonts w:ascii="黑体" w:hAnsi="宋体"/>
          <w:sz w:val="32"/>
          <w:szCs w:val="32"/>
          <w:shd w:fill="FFFFFF"/>
        </w:rPr>
        <w:t>2023</w:t>
      </w:r>
      <w:r>
        <w:rPr>
          <w:color w:val="000000"/>
          <w:rFonts w:ascii="黑体" w:hAnsi="宋体"/>
          <w:sz w:val="32"/>
          <w:szCs w:val="32"/>
          <w:shd w:fill="FFFFFF"/>
        </w:rPr>
        <w:t>年一般公共预算</w:t>
      </w:r>
      <w:r>
        <w:rPr>
          <w:color w:val="000000"/>
          <w:rFonts w:ascii="黑体" w:hAnsi="宋体"/>
          <w:sz w:val="32"/>
          <w:szCs w:val="32"/>
          <w:shd w:fill="FFFFFF"/>
        </w:rPr>
        <w:t>支出表的</w:t>
      </w:r>
      <w:r>
        <w:rPr>
          <w:color w:val="000000"/>
          <w:rFonts w:ascii="黑体" w:hAnsi="宋体"/>
          <w:sz w:val="32"/>
          <w:szCs w:val="32"/>
          <w:shd w:fill="FFFFFF"/>
        </w:rPr>
        <w:t>说明</w:t>
      </w:r>
    </w:p>
    <w:p>
      <w:pPr>
        <w:pStyle w:val=""/>
        <w:ind w:firstLine="627"/>
        <w:spacing w:before="0" w:after="0" w:line="600" w:lineRule="exact"/>
        <w:rPr>
          <w:color w:val="000000"/>
          <w:rFonts w:ascii="仿宋" w:hAnsi="仿宋"/>
          <w:sz w:val="32"/>
          <w:szCs w:val="32"/>
        </w:rPr>
      </w:pPr>
      <w:r>
        <w:rPr>
          <w:b/>
          <w:color w:val="000000"/>
          <w:rFonts w:ascii="仿宋" w:hAnsi="仿宋"/>
          <w:sz w:val="32"/>
          <w:szCs w:val="32"/>
          <w:shd w:fill="FFFFFF"/>
        </w:rPr>
        <w:t>（一）一般公共预算</w:t>
      </w:r>
      <w:r>
        <w:rPr>
          <w:b/>
          <w:color w:val="000000"/>
          <w:rFonts w:ascii="仿宋" w:hAnsi="仿宋"/>
          <w:sz w:val="32"/>
          <w:szCs w:val="32"/>
          <w:shd w:fill="FFFFFF"/>
        </w:rPr>
        <w:t>支出</w:t>
      </w:r>
      <w:r>
        <w:rPr>
          <w:b/>
          <w:color w:val="000000"/>
          <w:rFonts w:ascii="仿宋" w:hAnsi="仿宋"/>
          <w:sz w:val="32"/>
          <w:szCs w:val="32"/>
          <w:shd w:fill="FFFFFF"/>
        </w:rPr>
        <w:t>规模变化情况。</w:t>
      </w:r>
    </w:p>
    <w:p>
      <w:pPr>
        <w:pStyle w:val=""/>
        <w:ind w:firstLine="627"/>
        <w:spacing w:before="0" w:after="0" w:line="600" w:lineRule="exact"/>
        <w:rPr>
          <w:color w:val="000000"/>
          <w:rFonts w:ascii="仿宋_GB2312" w:hAnsi="仿宋_GB2312"/>
          <w:sz w:val="32"/>
          <w:szCs w:val="32"/>
          <w:shd w:fill="FFFFFF"/>
        </w:rPr>
      </w:pPr>
      <w:r>
        <w:rPr>
          <w:color w:val="000000"/>
          <w:rFonts w:ascii="仿宋_GB2312" w:hAnsi="仿宋_GB2312"/>
          <w:sz w:val="32"/>
          <w:szCs w:val="32"/>
          <w:shd w:fill="FFFFFF"/>
        </w:rPr>
        <w:t>烈山区财政局</w:t>
      </w:r>
      <w:r>
        <w:rPr>
          <w:color w:val="000000"/>
          <w:rFonts w:ascii="仿宋_GB2312" w:hAnsi="仿宋_GB2312"/>
          <w:sz w:val="32"/>
          <w:szCs w:val="32"/>
          <w:shd w:fill="FFFFFF"/>
        </w:rPr>
        <w:t>2023</w:t>
      </w:r>
      <w:r>
        <w:rPr>
          <w:color w:val="000000"/>
          <w:rFonts w:ascii="仿宋_GB2312" w:hAnsi="仿宋_GB2312"/>
          <w:sz w:val="32"/>
          <w:szCs w:val="32"/>
          <w:shd w:fill="FFFFFF"/>
        </w:rPr>
        <w:t>年一般公共预算拨款</w:t>
      </w:r>
      <w:r>
        <w:rPr>
          <w:color w:val="000000"/>
          <w:rFonts w:ascii="仿宋_GB2312" w:hAnsi="仿宋_GB2312"/>
          <w:sz w:val="32"/>
          <w:szCs w:val="32"/>
          <w:shd w:fill="FFFFFF"/>
        </w:rPr>
        <w:t>788.924</w:t>
      </w:r>
      <w:r>
        <w:rPr>
          <w:color w:val="000000"/>
          <w:rFonts w:ascii="仿宋_GB2312" w:hAnsi="仿宋_GB2312"/>
          <w:sz w:val="32"/>
          <w:szCs w:val="32"/>
          <w:shd w:fill="FFFFFF"/>
        </w:rPr>
        <w:t>万元，比202</w:t>
      </w:r>
      <w:r>
        <w:rPr>
          <w:color w:val="000000"/>
          <w:rFonts w:ascii="仿宋_GB2312" w:hAnsi="仿宋_GB2312"/>
          <w:sz w:val="32"/>
          <w:szCs w:val="32"/>
          <w:shd w:fill="FFFFFF"/>
        </w:rPr>
        <w:t>2</w:t>
      </w:r>
      <w:r>
        <w:rPr>
          <w:color w:val="000000"/>
          <w:rFonts w:ascii="仿宋_GB2312" w:hAnsi="仿宋_GB2312"/>
          <w:sz w:val="32"/>
          <w:szCs w:val="32"/>
          <w:shd w:fill="FFFFFF"/>
        </w:rPr>
        <w:t>年预算拨款增加</w:t>
      </w:r>
      <w:r>
        <w:rPr>
          <w:color w:val="000000"/>
          <w:rFonts w:ascii="仿宋_GB2312" w:hAnsi="仿宋_GB2312"/>
          <w:sz w:val="32"/>
          <w:szCs w:val="32"/>
          <w:shd w:fill="FFFFFF"/>
        </w:rPr>
        <w:t>52.08</w:t>
      </w:r>
      <w:r>
        <w:rPr>
          <w:color w:val="000000"/>
          <w:rFonts w:ascii="仿宋_GB2312" w:hAnsi="仿宋_GB2312"/>
          <w:sz w:val="32"/>
          <w:szCs w:val="32"/>
          <w:shd w:fill="FFFFFF"/>
        </w:rPr>
        <w:t>万元，增长</w:t>
      </w:r>
      <w:r>
        <w:rPr>
          <w:color w:val="000000"/>
          <w:rFonts w:ascii="仿宋_GB2312" w:hAnsi="仿宋_GB2312"/>
          <w:sz w:val="32"/>
          <w:szCs w:val="32"/>
          <w:shd w:fill="FFFFFF"/>
        </w:rPr>
        <w:t>7.07</w:t>
      </w:r>
      <w:r>
        <w:rPr>
          <w:color w:val="000000"/>
          <w:rFonts w:ascii="仿宋_GB2312" w:hAnsi="仿宋_GB2312"/>
          <w:sz w:val="32"/>
          <w:szCs w:val="32"/>
          <w:shd w:fill="FFFFFF"/>
        </w:rPr>
        <w:t>%，原因主要</w:t>
      </w:r>
      <w:r>
        <w:rPr>
          <w:color w:val="000000"/>
          <w:rFonts w:ascii="仿宋_GB2312" w:hAnsi="仿宋_GB2312"/>
          <w:sz w:val="32"/>
          <w:szCs w:val="32"/>
          <w:shd w:fill="FFFFFF"/>
        </w:rPr>
        <w:t>一般公共服务支出调增</w:t>
      </w:r>
      <w:r>
        <w:rPr>
          <w:color w:val="000000"/>
          <w:rFonts w:ascii="仿宋_GB2312" w:hAnsi="仿宋_GB2312"/>
          <w:sz w:val="32"/>
          <w:szCs w:val="32"/>
          <w:shd w:fill="FFFFFF"/>
        </w:rPr>
        <w:t>、新增人员、工资和保险调增等。</w:t>
      </w:r>
    </w:p>
    <w:p>
      <w:pPr>
        <w:pStyle w:val=""/>
        <w:numPr>
          <w:ilvl w:val="0"/>
          <w:numId w:val="1752747405"/>
        </w:numPr>
        <w:ind w:firstLine="627"/>
        <w:spacing w:before="0" w:after="0" w:line="600" w:lineRule="exact"/>
        <w:rPr>
          <w:b/>
          <w:color w:val="000000"/>
          <w:rFonts w:ascii="仿宋_GB2312" w:hAnsi="仿宋_GB2312"/>
          <w:sz w:val="32"/>
          <w:szCs w:val="32"/>
          <w:shd w:fill="FFFFFF"/>
        </w:rPr>
      </w:pPr>
      <w:r>
        <w:rPr>
          <w:b/>
          <w:color w:val="000000"/>
          <w:rFonts w:ascii="仿宋_GB2312" w:hAnsi="仿宋_GB2312"/>
          <w:sz w:val="32"/>
          <w:szCs w:val="32"/>
          <w:shd w:fill="FFFFFF"/>
        </w:rPr>
        <w:t>一般公共预算</w:t>
      </w:r>
      <w:r>
        <w:rPr>
          <w:b/>
          <w:color w:val="000000"/>
          <w:rFonts w:ascii="仿宋_GB2312" w:hAnsi="仿宋_GB2312"/>
          <w:sz w:val="32"/>
          <w:szCs w:val="32"/>
          <w:shd w:fill="FFFFFF"/>
        </w:rPr>
        <w:t>支出</w:t>
      </w:r>
      <w:r>
        <w:rPr>
          <w:b/>
          <w:color w:val="000000"/>
          <w:rFonts w:ascii="仿宋_GB2312" w:hAnsi="仿宋_GB2312"/>
          <w:sz w:val="32"/>
          <w:szCs w:val="32"/>
          <w:shd w:fill="FFFFFF"/>
        </w:rPr>
        <w:t>结构情况。</w:t>
      </w:r>
    </w:p>
    <w:p>
      <w:pPr>
        <w:pStyle w:val=""/>
        <w:ind w:firstLine="640"/>
        <w:spacing w:before="0" w:after="0" w:line="600" w:lineRule="exact"/>
        <w:rPr>
          <w:color w:val="000000"/>
          <w:rFonts w:ascii="仿宋_GB2312" w:hAnsi="仿宋_GB2312"/>
          <w:sz w:val="32"/>
          <w:szCs w:val="32"/>
        </w:rPr>
      </w:pPr>
      <w:r>
        <w:rPr>
          <w:color w:val="000000"/>
          <w:rFonts w:ascii="仿宋_GB2312" w:hAnsi="仿宋_GB2312"/>
          <w:sz w:val="32"/>
          <w:szCs w:val="32"/>
          <w:shd w:fill="FFFFFF"/>
        </w:rPr>
        <w:t>一般公共服务支出</w:t>
      </w:r>
      <w:r>
        <w:rPr>
          <w:color w:val="000000"/>
          <w:rFonts w:ascii="仿宋_GB2312" w:hAnsi="仿宋_GB2312"/>
          <w:sz w:val="32"/>
          <w:szCs w:val="32"/>
          <w:shd w:fill="FFFFFF"/>
        </w:rPr>
        <w:t>446.03</w:t>
      </w:r>
      <w:r>
        <w:rPr>
          <w:color w:val="000000"/>
          <w:rFonts w:ascii="仿宋_GB2312" w:hAnsi="仿宋_GB2312"/>
          <w:sz w:val="32"/>
          <w:szCs w:val="32"/>
          <w:shd w:fill="FFFFFF"/>
        </w:rPr>
        <w:t>万元，占</w:t>
      </w:r>
      <w:r>
        <w:rPr>
          <w:color w:val="000000"/>
          <w:rFonts w:ascii="仿宋_GB2312" w:hAnsi="仿宋_GB2312"/>
          <w:sz w:val="32"/>
          <w:szCs w:val="32"/>
          <w:shd w:fill="FFFFFF"/>
        </w:rPr>
        <w:t>56.54</w:t>
      </w:r>
      <w:r>
        <w:rPr>
          <w:color w:val="000000"/>
          <w:rFonts w:ascii="仿宋_GB2312" w:hAnsi="仿宋_GB2312"/>
          <w:sz w:val="32"/>
          <w:szCs w:val="32"/>
          <w:shd w:fill="FFFFFF"/>
        </w:rPr>
        <w:t>%；社会保障和就业支出</w:t>
      </w:r>
      <w:r>
        <w:rPr>
          <w:color w:val="000000"/>
          <w:rFonts w:ascii="仿宋_GB2312" w:hAnsi="仿宋_GB2312"/>
          <w:sz w:val="32"/>
          <w:szCs w:val="32"/>
          <w:shd w:fill="FFFFFF"/>
        </w:rPr>
        <w:t>44.18</w:t>
      </w:r>
      <w:r>
        <w:rPr>
          <w:color w:val="000000"/>
          <w:rFonts w:ascii="仿宋_GB2312" w:hAnsi="仿宋_GB2312"/>
          <w:sz w:val="32"/>
          <w:szCs w:val="32"/>
          <w:shd w:fill="FFFFFF"/>
        </w:rPr>
        <w:t>万元，占</w:t>
      </w:r>
      <w:r>
        <w:rPr>
          <w:color w:val="000000"/>
          <w:rFonts w:ascii="仿宋_GB2312" w:hAnsi="仿宋_GB2312"/>
          <w:sz w:val="32"/>
          <w:szCs w:val="32"/>
          <w:shd w:fill="FFFFFF"/>
        </w:rPr>
        <w:t>5.60</w:t>
      </w:r>
      <w:r>
        <w:rPr>
          <w:color w:val="000000"/>
          <w:rFonts w:ascii="仿宋_GB2312" w:hAnsi="仿宋_GB2312"/>
          <w:sz w:val="32"/>
          <w:szCs w:val="32"/>
          <w:shd w:fill="FFFFFF"/>
        </w:rPr>
        <w:t>%；卫生健康支出</w:t>
      </w:r>
      <w:r>
        <w:rPr>
          <w:color w:val="000000"/>
          <w:rFonts w:ascii="仿宋_GB2312" w:hAnsi="仿宋_GB2312"/>
          <w:sz w:val="32"/>
          <w:szCs w:val="32"/>
          <w:shd w:fill="FFFFFF"/>
        </w:rPr>
        <w:t>13.25</w:t>
      </w:r>
      <w:r>
        <w:rPr>
          <w:color w:val="000000"/>
          <w:rFonts w:ascii="仿宋_GB2312" w:hAnsi="仿宋_GB2312"/>
          <w:sz w:val="32"/>
          <w:szCs w:val="32"/>
          <w:shd w:fill="FFFFFF"/>
        </w:rPr>
        <w:t>万元，占</w:t>
      </w:r>
      <w:r>
        <w:rPr>
          <w:color w:val="000000"/>
          <w:rFonts w:ascii="仿宋_GB2312" w:hAnsi="仿宋_GB2312"/>
          <w:sz w:val="32"/>
          <w:szCs w:val="32"/>
          <w:shd w:fill="FFFFFF"/>
        </w:rPr>
        <w:t>1.68</w:t>
      </w:r>
      <w:r>
        <w:rPr>
          <w:color w:val="000000"/>
          <w:rFonts w:ascii="仿宋_GB2312" w:hAnsi="仿宋_GB2312"/>
          <w:sz w:val="32"/>
          <w:szCs w:val="32"/>
          <w:shd w:fill="FFFFFF"/>
        </w:rPr>
        <w:t>%；住房保障支出</w:t>
      </w:r>
      <w:r>
        <w:rPr>
          <w:color w:val="000000"/>
          <w:rFonts w:ascii="仿宋_GB2312" w:hAnsi="仿宋_GB2312"/>
          <w:sz w:val="32"/>
          <w:szCs w:val="32"/>
          <w:shd w:fill="FFFFFF"/>
        </w:rPr>
        <w:t>39.06</w:t>
      </w:r>
      <w:r>
        <w:rPr>
          <w:color w:val="000000"/>
          <w:rFonts w:ascii="仿宋_GB2312" w:hAnsi="仿宋_GB2312"/>
          <w:sz w:val="32"/>
          <w:szCs w:val="32"/>
          <w:shd w:fill="FFFFFF"/>
        </w:rPr>
        <w:t>万元，占</w:t>
      </w:r>
      <w:r>
        <w:rPr>
          <w:color w:val="000000"/>
          <w:rFonts w:ascii="仿宋_GB2312" w:hAnsi="仿宋_GB2312"/>
          <w:sz w:val="32"/>
          <w:szCs w:val="32"/>
          <w:shd w:fill="FFFFFF"/>
        </w:rPr>
        <w:t>4.95</w:t>
      </w:r>
      <w:r>
        <w:rPr>
          <w:color w:val="000000"/>
          <w:rFonts w:ascii="仿宋_GB2312" w:hAnsi="仿宋_GB2312"/>
          <w:sz w:val="32"/>
          <w:szCs w:val="32"/>
          <w:shd w:fill="FFFFFF"/>
        </w:rPr>
        <w:t>%；农林水事物支出240万元，占</w:t>
      </w:r>
      <w:r>
        <w:rPr>
          <w:color w:val="000000"/>
          <w:rFonts w:ascii="仿宋_GB2312" w:hAnsi="仿宋_GB2312"/>
          <w:sz w:val="32"/>
          <w:szCs w:val="32"/>
          <w:shd w:fill="FFFFFF"/>
        </w:rPr>
        <w:t>30.42</w:t>
      </w:r>
      <w:r>
        <w:rPr>
          <w:color w:val="000000"/>
          <w:rFonts w:ascii="仿宋_GB2312" w:hAnsi="仿宋_GB2312"/>
          <w:sz w:val="32"/>
          <w:szCs w:val="32"/>
          <w:shd w:fill="FFFFFF"/>
        </w:rPr>
        <w:t xml:space="preserve"> %</w:t>
      </w:r>
      <w:r>
        <w:rPr>
          <w:color w:val="000000"/>
          <w:rFonts w:ascii="仿宋_GB2312" w:hAnsi="仿宋_GB2312"/>
          <w:sz w:val="32"/>
          <w:szCs w:val="32"/>
          <w:shd w:fill="FFFFFF"/>
        </w:rPr>
        <w:t>;城乡社区支出6.4万元，</w:t>
      </w:r>
      <w:r>
        <w:rPr>
          <w:color w:val="000000"/>
          <w:rFonts w:ascii="仿宋_GB2312" w:hAnsi="仿宋_GB2312"/>
          <w:sz w:val="32"/>
          <w:szCs w:val="32"/>
          <w:shd w:fill="FFFFFF"/>
        </w:rPr>
        <w:t>占</w:t>
      </w:r>
      <w:r>
        <w:rPr>
          <w:color w:val="000000"/>
          <w:rFonts w:ascii="仿宋_GB2312" w:hAnsi="仿宋_GB2312"/>
          <w:sz w:val="32"/>
          <w:szCs w:val="32"/>
          <w:shd w:fill="FFFFFF"/>
        </w:rPr>
        <w:t>0.81</w:t>
      </w:r>
      <w:r>
        <w:rPr>
          <w:color w:val="000000"/>
          <w:rFonts w:ascii="仿宋_GB2312" w:hAnsi="仿宋_GB2312"/>
          <w:sz w:val="32"/>
          <w:szCs w:val="32"/>
          <w:shd w:fill="FFFFFF"/>
        </w:rPr>
        <w:t xml:space="preserve"> %</w:t>
      </w:r>
      <w:r>
        <w:rPr>
          <w:color w:val="000000"/>
          <w:rFonts w:ascii="仿宋_GB2312" w:hAnsi="仿宋_GB2312"/>
          <w:sz w:val="32"/>
          <w:szCs w:val="32"/>
          <w:shd w:fill="FFFFFF"/>
        </w:rPr>
        <w:t>。</w:t>
      </w:r>
    </w:p>
    <w:p>
      <w:pPr>
        <w:pStyle w:val=""/>
        <w:numPr>
          <w:ilvl w:val="0"/>
          <w:numId w:val="1752747405"/>
        </w:numPr>
        <w:ind w:firstLine="627"/>
        <w:spacing w:before="0" w:after="0" w:line="600" w:lineRule="exact"/>
        <w:rPr>
          <w:b/>
          <w:color w:val="000000"/>
          <w:rFonts w:ascii="仿宋" w:hAnsi="仿宋"/>
          <w:sz w:val="32"/>
          <w:szCs w:val="32"/>
          <w:shd w:fill="FFFFFF"/>
        </w:rPr>
      </w:pPr>
      <w:r>
        <w:rPr>
          <w:b/>
          <w:color w:val="000000"/>
          <w:rFonts w:ascii="仿宋" w:hAnsi="仿宋"/>
          <w:sz w:val="32"/>
          <w:szCs w:val="32"/>
          <w:shd w:fill="FFFFFF"/>
        </w:rPr>
        <w:t>一般公共预算</w:t>
      </w:r>
      <w:r>
        <w:rPr>
          <w:b/>
          <w:color w:val="000000"/>
          <w:rFonts w:ascii="仿宋" w:hAnsi="仿宋"/>
          <w:sz w:val="32"/>
          <w:szCs w:val="32"/>
          <w:shd w:fill="FFFFFF"/>
        </w:rPr>
        <w:t>支出具体使用</w:t>
      </w:r>
      <w:r>
        <w:rPr>
          <w:b/>
          <w:color w:val="000000"/>
          <w:rFonts w:ascii="仿宋" w:hAnsi="仿宋"/>
          <w:sz w:val="32"/>
          <w:szCs w:val="32"/>
          <w:shd w:fill="FFFFFF"/>
        </w:rPr>
        <w:t>情况。</w:t>
      </w:r>
    </w:p>
    <w:p>
      <w:pPr>
        <w:pStyle w:val=""/>
        <w:ind w:firstLine="627"/>
        <w:spacing w:before="0" w:after="0" w:line="600" w:lineRule="exact"/>
        <w:rPr>
          <w:color w:val="000000"/>
          <w:rFonts w:ascii="仿宋_GB2312" w:hAnsi="仿宋_GB2312"/>
          <w:sz w:val="32"/>
          <w:szCs w:val="32"/>
          <w:shd w:fill="FFFFFF"/>
        </w:rPr>
      </w:pPr>
      <w:r>
        <w:rPr>
          <w:b/>
          <w:color w:val="000000"/>
          <w:rFonts w:ascii="仿宋_GB2312" w:hAnsi="仿宋_GB2312"/>
          <w:sz w:val="32"/>
          <w:szCs w:val="32"/>
        </w:rPr>
        <w:t>1.</w:t>
      </w:r>
      <w:r>
        <w:rPr>
          <w:b/>
          <w:color w:val="000000"/>
          <w:rFonts w:ascii="仿宋_GB2312" w:hAnsi="仿宋_GB2312"/>
          <w:sz w:val="32"/>
          <w:szCs w:val="32"/>
        </w:rPr>
        <w:t>一般公共服务支出（类）财政事务（款）行政运行（项）</w:t>
      </w:r>
      <w:r>
        <w:rPr>
          <w:color w:val="000000"/>
          <w:rFonts w:ascii="仿宋_GB2312" w:hAnsi="仿宋_GB2312"/>
          <w:sz w:val="32"/>
          <w:szCs w:val="32"/>
          <w:shd w:fill="FFFFFF"/>
        </w:rPr>
        <w:t>2023年预算188.57</w:t>
      </w:r>
      <w:r>
        <w:rPr>
          <w:color w:val="000000"/>
          <w:rFonts w:ascii="仿宋_GB2312" w:hAnsi="仿宋_GB2312"/>
          <w:sz w:val="32"/>
          <w:szCs w:val="32"/>
          <w:shd w:fill="FFFFFF"/>
        </w:rPr>
        <w:t>万元</w:t>
      </w:r>
      <w:r>
        <w:rPr>
          <w:color w:val="000000"/>
          <w:rFonts w:ascii="仿宋_GB2312" w:hAnsi="仿宋_GB2312"/>
          <w:sz w:val="32"/>
          <w:szCs w:val="32"/>
          <w:shd w:fill="FFFFFF"/>
        </w:rPr>
        <w:t>，</w:t>
      </w:r>
      <w:r>
        <w:rPr>
          <w:color w:val="000000"/>
          <w:rFonts w:ascii="仿宋_GB2312" w:hAnsi="仿宋_GB2312"/>
          <w:sz w:val="32"/>
          <w:szCs w:val="32"/>
          <w:shd w:fill="FFFFFF"/>
        </w:rPr>
        <w:t>比202</w:t>
      </w:r>
      <w:r>
        <w:rPr>
          <w:color w:val="000000"/>
          <w:rFonts w:ascii="仿宋_GB2312" w:hAnsi="仿宋_GB2312"/>
          <w:sz w:val="32"/>
          <w:szCs w:val="32"/>
          <w:shd w:fill="FFFFFF"/>
        </w:rPr>
        <w:t>2</w:t>
      </w:r>
      <w:r>
        <w:rPr>
          <w:color w:val="000000"/>
          <w:rFonts w:ascii="仿宋_GB2312" w:hAnsi="仿宋_GB2312"/>
          <w:sz w:val="32"/>
          <w:szCs w:val="32"/>
          <w:shd w:fill="FFFFFF"/>
        </w:rPr>
        <w:t>年预算增加</w:t>
      </w:r>
      <w:r>
        <w:rPr>
          <w:color w:val="000000"/>
          <w:rFonts w:ascii="仿宋_GB2312" w:hAnsi="仿宋_GB2312"/>
          <w:sz w:val="32"/>
          <w:szCs w:val="32"/>
          <w:shd w:fill="FFFFFF"/>
        </w:rPr>
        <w:t>51.62</w:t>
      </w:r>
      <w:r>
        <w:rPr>
          <w:color w:val="000000"/>
          <w:rFonts w:ascii="仿宋_GB2312" w:hAnsi="仿宋_GB2312"/>
          <w:sz w:val="32"/>
          <w:szCs w:val="32"/>
          <w:shd w:fill="FFFFFF"/>
        </w:rPr>
        <w:t>万元，增长</w:t>
      </w:r>
      <w:r>
        <w:rPr>
          <w:color w:val="000000"/>
          <w:rFonts w:ascii="仿宋_GB2312" w:hAnsi="仿宋_GB2312"/>
          <w:sz w:val="32"/>
          <w:szCs w:val="32"/>
          <w:shd w:fill="FFFFFF"/>
        </w:rPr>
        <w:t>37.69</w:t>
      </w:r>
      <w:r>
        <w:rPr>
          <w:color w:val="000000"/>
          <w:rFonts w:ascii="仿宋_GB2312" w:hAnsi="仿宋_GB2312"/>
          <w:sz w:val="32"/>
          <w:szCs w:val="32"/>
          <w:shd w:fill="FFFFFF"/>
        </w:rPr>
        <w:t>%，</w:t>
      </w:r>
      <w:r>
        <w:rPr>
          <w:color w:val="000000"/>
          <w:rFonts w:ascii="仿宋_GB2312" w:hAnsi="仿宋_GB2312"/>
          <w:sz w:val="32"/>
          <w:szCs w:val="32"/>
          <w:shd w:fill="FFFFFF"/>
        </w:rPr>
        <w:t>增长</w:t>
      </w:r>
      <w:r>
        <w:rPr>
          <w:color w:val="000000"/>
          <w:rFonts w:ascii="仿宋_GB2312" w:hAnsi="仿宋_GB2312"/>
          <w:sz w:val="32"/>
          <w:szCs w:val="32"/>
          <w:shd w:fill="FFFFFF"/>
        </w:rPr>
        <w:t>原因主要是</w:t>
      </w:r>
      <w:r>
        <w:rPr>
          <w:color w:val="000000"/>
          <w:rFonts w:ascii="仿宋_GB2312" w:hAnsi="仿宋_GB2312"/>
          <w:sz w:val="32"/>
          <w:szCs w:val="32"/>
          <w:shd w:fill="FFFFFF"/>
        </w:rPr>
        <w:t>一般公共服务支出调增、新增人员、工资调增等</w:t>
      </w:r>
      <w:r>
        <w:rPr>
          <w:color w:val="000000"/>
          <w:rFonts w:ascii="仿宋" w:hAnsi="仿宋"/>
          <w:sz w:val="32"/>
          <w:szCs w:val="32"/>
          <w:shd w:fill="FFFFFF"/>
        </w:rPr>
        <w:t>。</w:t>
      </w:r>
    </w:p>
    <w:p>
      <w:pPr>
        <w:pStyle w:val=""/>
        <w:ind w:right="0"/>
        <w:ind w:firstLine="321"/>
        <w:spacing w:before="0" w:after="0" w:line="600" w:lineRule="exact"/>
        <w:rPr>
          <w:color w:val="000000"/>
          <w:rFonts w:ascii="仿宋_GB2312" w:hAnsi="仿宋_GB2312"/>
          <w:sz w:val="32"/>
          <w:szCs w:val="32"/>
          <w:shd w:fill="FFFFFF"/>
        </w:rPr>
      </w:pPr>
      <w:r>
        <w:rPr>
          <w:b/>
          <w:color w:val="000000"/>
          <w:rFonts w:ascii="仿宋_GB2312" w:hAnsi="仿宋_GB2312"/>
          <w:sz w:val="32"/>
          <w:szCs w:val="32"/>
        </w:rPr>
        <w:t>2.</w:t>
      </w:r>
      <w:r>
        <w:rPr>
          <w:b/>
          <w:color w:val="000000"/>
          <w:rFonts w:ascii="仿宋_GB2312" w:hAnsi="仿宋_GB2312"/>
          <w:sz w:val="32"/>
          <w:szCs w:val="32"/>
        </w:rPr>
        <w:t>一般公共服务支出（类）财政事务（款）</w:t>
      </w:r>
      <w:r>
        <w:rPr>
          <w:b/>
          <w:color w:val="000000"/>
          <w:rFonts w:ascii="仿宋_GB2312" w:hAnsi="仿宋_GB2312"/>
          <w:sz w:val="32"/>
          <w:szCs w:val="32"/>
        </w:rPr>
        <w:t>一般行政管理事务</w:t>
      </w:r>
      <w:r>
        <w:rPr>
          <w:b/>
          <w:color w:val="000000"/>
          <w:rFonts w:ascii="仿宋_GB2312" w:hAnsi="仿宋_GB2312"/>
          <w:sz w:val="32"/>
          <w:szCs w:val="32"/>
        </w:rPr>
        <w:t>（项）</w:t>
      </w:r>
      <w:r>
        <w:rPr>
          <w:color w:val="000000"/>
          <w:rFonts w:ascii="仿宋_GB2312" w:hAnsi="仿宋_GB2312"/>
          <w:sz w:val="32"/>
          <w:szCs w:val="32"/>
          <w:shd w:fill="FFFFFF"/>
        </w:rPr>
        <w:t>2023年预算25.37</w:t>
      </w:r>
      <w:r>
        <w:rPr>
          <w:color w:val="000000"/>
          <w:rFonts w:ascii="仿宋_GB2312" w:hAnsi="仿宋_GB2312"/>
          <w:sz w:val="32"/>
          <w:szCs w:val="32"/>
          <w:shd w:fill="FFFFFF"/>
        </w:rPr>
        <w:t>万元，比202</w:t>
      </w:r>
      <w:r>
        <w:rPr>
          <w:color w:val="000000"/>
          <w:rFonts w:ascii="仿宋_GB2312" w:hAnsi="仿宋_GB2312"/>
          <w:sz w:val="32"/>
          <w:szCs w:val="32"/>
          <w:shd w:fill="FFFFFF"/>
        </w:rPr>
        <w:t>2</w:t>
      </w:r>
      <w:r>
        <w:rPr>
          <w:color w:val="000000"/>
          <w:rFonts w:ascii="仿宋_GB2312" w:hAnsi="仿宋_GB2312"/>
          <w:sz w:val="32"/>
          <w:szCs w:val="32"/>
          <w:shd w:fill="FFFFFF"/>
        </w:rPr>
        <w:t>年预算</w:t>
      </w:r>
      <w:r>
        <w:rPr>
          <w:color w:val="000000"/>
          <w:rFonts w:ascii="仿宋_GB2312" w:hAnsi="仿宋_GB2312"/>
          <w:sz w:val="32"/>
          <w:szCs w:val="32"/>
          <w:shd w:fill="FFFFFF"/>
        </w:rPr>
        <w:t>减少</w:t>
      </w:r>
      <w:r>
        <w:rPr>
          <w:color w:val="000000"/>
          <w:rFonts w:ascii="仿宋_GB2312" w:hAnsi="仿宋_GB2312"/>
          <w:sz w:val="32"/>
          <w:szCs w:val="32"/>
          <w:shd w:fill="FFFFFF"/>
        </w:rPr>
        <w:t>4.44</w:t>
      </w:r>
      <w:r>
        <w:rPr>
          <w:color w:val="000000"/>
          <w:rFonts w:ascii="仿宋_GB2312" w:hAnsi="仿宋_GB2312"/>
          <w:sz w:val="32"/>
          <w:szCs w:val="32"/>
          <w:shd w:fill="FFFFFF"/>
        </w:rPr>
        <w:t>万元，</w:t>
      </w:r>
      <w:r>
        <w:rPr>
          <w:color w:val="000000"/>
          <w:rFonts w:ascii="仿宋_GB2312" w:hAnsi="仿宋_GB2312"/>
          <w:sz w:val="32"/>
          <w:szCs w:val="32"/>
          <w:shd w:fill="FFFFFF"/>
        </w:rPr>
        <w:t>减少</w:t>
      </w:r>
      <w:r>
        <w:rPr>
          <w:color w:val="000000"/>
          <w:rFonts w:ascii="仿宋_GB2312" w:hAnsi="仿宋_GB2312"/>
          <w:sz w:val="32"/>
          <w:szCs w:val="32"/>
          <w:shd w:fill="FFFFFF"/>
        </w:rPr>
        <w:t>14.89</w:t>
      </w:r>
      <w:r>
        <w:rPr>
          <w:color w:val="000000"/>
          <w:rFonts w:ascii="仿宋_GB2312" w:hAnsi="仿宋_GB2312"/>
          <w:sz w:val="32"/>
          <w:szCs w:val="32"/>
          <w:shd w:fill="FFFFFF"/>
        </w:rPr>
        <w:t>%，</w:t>
      </w:r>
      <w:r>
        <w:rPr>
          <w:color w:val="000000"/>
          <w:rFonts w:ascii="仿宋_GB2312" w:hAnsi="仿宋_GB2312"/>
          <w:sz w:val="32"/>
          <w:szCs w:val="32"/>
          <w:shd w:fill="FFFFFF"/>
        </w:rPr>
        <w:t>减少</w:t>
      </w:r>
      <w:r>
        <w:rPr>
          <w:color w:val="000000"/>
          <w:rFonts w:ascii="仿宋_GB2312" w:hAnsi="仿宋_GB2312"/>
          <w:sz w:val="32"/>
          <w:szCs w:val="32"/>
          <w:shd w:fill="FFFFFF"/>
        </w:rPr>
        <w:t>原因主要是</w:t>
      </w:r>
      <w:r>
        <w:rPr>
          <w:color w:val="000000"/>
          <w:rFonts w:ascii="仿宋_GB2312" w:hAnsi="仿宋_GB2312"/>
          <w:sz w:val="32"/>
          <w:szCs w:val="32"/>
          <w:shd w:fill="FFFFFF"/>
        </w:rPr>
        <w:t>人员公用经费减少。</w:t>
      </w:r>
    </w:p>
    <w:p>
      <w:pPr>
        <w:pStyle w:val=""/>
        <w:ind w:right="0"/>
        <w:ind w:firstLine="321"/>
        <w:spacing w:before="0" w:after="0" w:line="600" w:lineRule="exact"/>
        <w:rPr>
          <w:color w:val="000000"/>
          <w:rFonts w:ascii="仿宋_GB2312" w:hAnsi="仿宋_GB2312"/>
          <w:sz w:val="32"/>
          <w:szCs w:val="32"/>
          <w:shd w:fill="FFFFFF"/>
        </w:rPr>
      </w:pPr>
      <w:r>
        <w:rPr>
          <w:b/>
          <w:color w:val="000000"/>
          <w:rFonts w:ascii="仿宋_GB2312" w:hAnsi="仿宋_GB2312"/>
          <w:sz w:val="32"/>
          <w:szCs w:val="32"/>
        </w:rPr>
        <w:t>3.</w:t>
      </w:r>
      <w:r>
        <w:rPr>
          <w:b/>
          <w:color w:val="000000"/>
          <w:rFonts w:ascii="仿宋_GB2312" w:hAnsi="仿宋_GB2312"/>
          <w:sz w:val="32"/>
          <w:szCs w:val="32"/>
        </w:rPr>
        <w:t>一般公共服务支出（类）财政事务（款）</w:t>
      </w:r>
      <w:r>
        <w:rPr>
          <w:b/>
          <w:color w:val="000000"/>
          <w:rFonts w:ascii="仿宋_GB2312" w:hAnsi="仿宋_GB2312"/>
          <w:sz w:val="32"/>
          <w:szCs w:val="32"/>
        </w:rPr>
        <w:t>其他财政事务支出</w:t>
      </w:r>
      <w:r>
        <w:rPr>
          <w:b/>
          <w:color w:val="000000"/>
          <w:rFonts w:ascii="仿宋_GB2312" w:hAnsi="仿宋_GB2312"/>
          <w:sz w:val="32"/>
          <w:szCs w:val="32"/>
        </w:rPr>
        <w:t>（项）</w:t>
      </w:r>
      <w:r>
        <w:rPr>
          <w:color w:val="000000"/>
          <w:rFonts w:ascii="仿宋_GB2312" w:hAnsi="仿宋_GB2312"/>
          <w:sz w:val="32"/>
          <w:szCs w:val="32"/>
          <w:shd w:fill="FFFFFF"/>
        </w:rPr>
        <w:t>2023年预算232.10</w:t>
      </w:r>
      <w:r>
        <w:rPr>
          <w:color w:val="000000"/>
          <w:rFonts w:ascii="仿宋_GB2312" w:hAnsi="仿宋_GB2312"/>
          <w:sz w:val="32"/>
          <w:szCs w:val="32"/>
          <w:shd w:fill="FFFFFF"/>
        </w:rPr>
        <w:t>万元，比202</w:t>
      </w:r>
      <w:r>
        <w:rPr>
          <w:color w:val="000000"/>
          <w:rFonts w:ascii="仿宋_GB2312" w:hAnsi="仿宋_GB2312"/>
          <w:sz w:val="32"/>
          <w:szCs w:val="32"/>
          <w:shd w:fill="FFFFFF"/>
        </w:rPr>
        <w:t>2</w:t>
      </w:r>
      <w:r>
        <w:rPr>
          <w:color w:val="000000"/>
          <w:rFonts w:ascii="仿宋_GB2312" w:hAnsi="仿宋_GB2312"/>
          <w:sz w:val="32"/>
          <w:szCs w:val="32"/>
          <w:shd w:fill="FFFFFF"/>
        </w:rPr>
        <w:t>年预算</w:t>
      </w:r>
      <w:r>
        <w:rPr>
          <w:color w:val="000000"/>
          <w:rFonts w:ascii="仿宋_GB2312" w:hAnsi="仿宋_GB2312"/>
          <w:sz w:val="32"/>
          <w:szCs w:val="32"/>
          <w:shd w:fill="FFFFFF"/>
        </w:rPr>
        <w:t>减少</w:t>
      </w:r>
      <w:r>
        <w:rPr>
          <w:color w:val="000000"/>
          <w:rFonts w:ascii="仿宋_GB2312" w:hAnsi="仿宋_GB2312"/>
          <w:sz w:val="32"/>
          <w:szCs w:val="32"/>
          <w:shd w:fill="FFFFFF"/>
        </w:rPr>
        <w:t xml:space="preserve">  12.29</w:t>
      </w:r>
      <w:r>
        <w:rPr>
          <w:color w:val="000000"/>
          <w:rFonts w:ascii="仿宋_GB2312" w:hAnsi="仿宋_GB2312"/>
          <w:sz w:val="32"/>
          <w:szCs w:val="32"/>
          <w:shd w:fill="FFFFFF"/>
        </w:rPr>
        <w:t>万元，</w:t>
      </w:r>
      <w:r>
        <w:rPr>
          <w:color w:val="000000"/>
          <w:rFonts w:ascii="仿宋_GB2312" w:hAnsi="仿宋_GB2312"/>
          <w:sz w:val="32"/>
          <w:szCs w:val="32"/>
          <w:shd w:fill="FFFFFF"/>
        </w:rPr>
        <w:t>减少</w:t>
      </w:r>
      <w:r>
        <w:rPr>
          <w:color w:val="000000"/>
          <w:rFonts w:ascii="仿宋_GB2312" w:hAnsi="仿宋_GB2312"/>
          <w:sz w:val="32"/>
          <w:szCs w:val="32"/>
          <w:shd w:fill="FFFFFF"/>
        </w:rPr>
        <w:t>5.03</w:t>
      </w:r>
      <w:r>
        <w:rPr>
          <w:color w:val="000000"/>
          <w:rFonts w:ascii="仿宋_GB2312" w:hAnsi="仿宋_GB2312"/>
          <w:sz w:val="32"/>
          <w:szCs w:val="32"/>
          <w:shd w:fill="FFFFFF"/>
        </w:rPr>
        <w:t>%，</w:t>
      </w:r>
      <w:r>
        <w:rPr>
          <w:color w:val="000000"/>
          <w:rFonts w:ascii="仿宋_GB2312" w:hAnsi="仿宋_GB2312"/>
          <w:sz w:val="32"/>
          <w:szCs w:val="32"/>
          <w:shd w:fill="FFFFFF"/>
        </w:rPr>
        <w:t>减少</w:t>
      </w:r>
      <w:r>
        <w:rPr>
          <w:color w:val="000000"/>
          <w:rFonts w:ascii="仿宋_GB2312" w:hAnsi="仿宋_GB2312"/>
          <w:sz w:val="32"/>
          <w:szCs w:val="32"/>
          <w:shd w:fill="FFFFFF"/>
        </w:rPr>
        <w:t>原因主要是</w:t>
      </w:r>
      <w:r>
        <w:rPr>
          <w:color w:val="000000"/>
          <w:rFonts w:ascii="仿宋_GB2312" w:hAnsi="仿宋_GB2312"/>
          <w:sz w:val="32"/>
          <w:szCs w:val="32"/>
          <w:shd w:fill="FFFFFF"/>
        </w:rPr>
        <w:t>部分项目调减。</w:t>
      </w:r>
    </w:p>
    <w:p>
      <w:pPr>
        <w:pStyle w:val=""/>
        <w:jc w:val="both"/>
        <w:ind w:firstLine="640"/>
        <w:spacing w:before="0" w:after="0" w:line="600" w:lineRule="exact"/>
        <w:rPr>
          <w:color w:val="000000"/>
          <w:rFonts w:ascii="仿宋_GB2312" w:hAnsi="仿宋_GB2312"/>
          <w:sz w:val="32"/>
          <w:szCs w:val="32"/>
          <w:shd w:fill="FFFFFF"/>
        </w:rPr>
      </w:pPr>
      <w:r>
        <w:rPr>
          <w:b/>
          <w:color w:val="000000"/>
          <w:rFonts w:ascii="仿宋_GB2312" w:hAnsi="仿宋_GB2312"/>
          <w:sz w:val="32"/>
          <w:szCs w:val="32"/>
          <w:shd w:fill="FFFFFF"/>
        </w:rPr>
        <w:t>4</w:t>
      </w:r>
      <w:r>
        <w:rPr>
          <w:b/>
          <w:color w:val="000000"/>
          <w:rFonts w:ascii="仿宋_GB2312" w:hAnsi="仿宋_GB2312"/>
          <w:sz w:val="32"/>
          <w:szCs w:val="32"/>
          <w:shd w:fill="FFFFFF"/>
        </w:rPr>
        <w:t>.</w:t>
      </w:r>
      <w:r>
        <w:rPr>
          <w:b/>
          <w:color w:val="000000"/>
          <w:rFonts w:ascii="仿宋_GB2312" w:hAnsi="仿宋_GB2312"/>
          <w:sz w:val="32"/>
          <w:szCs w:val="32"/>
          <w:shd w:fill="FFFFFF"/>
        </w:rPr>
        <w:t>社会保障和就业（类）行政事业单位养老支出（款）机关事业单位基本养老保险缴费支出（项）。</w:t>
      </w:r>
      <w:r>
        <w:rPr>
          <w:color w:val="000000"/>
          <w:rFonts w:ascii="仿宋_GB2312" w:hAnsi="仿宋_GB2312"/>
          <w:sz w:val="32"/>
          <w:szCs w:val="32"/>
          <w:shd w:fill="FFFFFF"/>
        </w:rPr>
        <w:t>2023年预算 28.26</w:t>
      </w:r>
      <w:r>
        <w:rPr>
          <w:color w:val="000000"/>
          <w:rFonts w:ascii="仿宋_GB2312" w:hAnsi="仿宋_GB2312"/>
          <w:sz w:val="32"/>
          <w:szCs w:val="32"/>
          <w:shd w:fill="FFFFFF"/>
        </w:rPr>
        <w:t>万元</w:t>
      </w:r>
      <w:r>
        <w:rPr>
          <w:color w:val="000000"/>
          <w:rFonts w:ascii="仿宋_GB2312" w:hAnsi="仿宋_GB2312"/>
          <w:sz w:val="32"/>
          <w:szCs w:val="32"/>
          <w:shd w:fill="FFFFFF"/>
        </w:rPr>
        <w:t>，</w:t>
      </w:r>
      <w:r>
        <w:rPr>
          <w:color w:val="000000"/>
          <w:rFonts w:ascii="仿宋_GB2312" w:hAnsi="仿宋_GB2312"/>
          <w:sz w:val="32"/>
          <w:szCs w:val="32"/>
          <w:shd w:fill="FFFFFF"/>
        </w:rPr>
        <w:t>比202</w:t>
      </w:r>
      <w:r>
        <w:rPr>
          <w:color w:val="000000"/>
          <w:rFonts w:ascii="仿宋_GB2312" w:hAnsi="仿宋_GB2312"/>
          <w:sz w:val="32"/>
          <w:szCs w:val="32"/>
          <w:shd w:fill="FFFFFF"/>
        </w:rPr>
        <w:t>2</w:t>
      </w:r>
      <w:r>
        <w:rPr>
          <w:color w:val="000000"/>
          <w:rFonts w:ascii="仿宋_GB2312" w:hAnsi="仿宋_GB2312"/>
          <w:sz w:val="32"/>
          <w:szCs w:val="32"/>
          <w:shd w:fill="FFFFFF"/>
        </w:rPr>
        <w:t>年预算</w:t>
      </w:r>
      <w:r>
        <w:rPr>
          <w:color w:val="000000"/>
          <w:rFonts w:ascii="仿宋_GB2312" w:hAnsi="仿宋_GB2312"/>
          <w:sz w:val="32"/>
          <w:szCs w:val="32"/>
          <w:shd w:fill="FFFFFF"/>
        </w:rPr>
        <w:t>增加</w:t>
      </w:r>
      <w:r>
        <w:rPr>
          <w:color w:val="000000"/>
          <w:rFonts w:ascii="仿宋_GB2312" w:hAnsi="仿宋_GB2312"/>
          <w:sz w:val="32"/>
          <w:szCs w:val="32"/>
          <w:shd w:fill="FFFFFF"/>
        </w:rPr>
        <w:t>6.52</w:t>
      </w:r>
      <w:r>
        <w:rPr>
          <w:color w:val="000000"/>
          <w:rFonts w:ascii="仿宋_GB2312" w:hAnsi="仿宋_GB2312"/>
          <w:sz w:val="32"/>
          <w:szCs w:val="32"/>
          <w:shd w:fill="FFFFFF"/>
        </w:rPr>
        <w:t>万元，</w:t>
      </w:r>
      <w:r>
        <w:rPr>
          <w:color w:val="000000"/>
          <w:rFonts w:ascii="仿宋_GB2312" w:hAnsi="仿宋_GB2312"/>
          <w:sz w:val="32"/>
          <w:szCs w:val="32"/>
          <w:shd w:fill="FFFFFF"/>
        </w:rPr>
        <w:t>增长</w:t>
      </w:r>
      <w:r>
        <w:rPr>
          <w:color w:val="000000"/>
          <w:rFonts w:ascii="仿宋_GB2312" w:hAnsi="仿宋_GB2312"/>
          <w:sz w:val="32"/>
          <w:szCs w:val="32"/>
          <w:shd w:fill="FFFFFF"/>
        </w:rPr>
        <w:t xml:space="preserve">29.99 </w:t>
      </w:r>
      <w:r>
        <w:rPr>
          <w:color w:val="000000"/>
          <w:rFonts w:ascii="仿宋_GB2312" w:hAnsi="仿宋_GB2312"/>
          <w:sz w:val="32"/>
          <w:szCs w:val="32"/>
          <w:shd w:fill="FFFFFF"/>
        </w:rPr>
        <w:t>%，</w:t>
      </w:r>
      <w:r>
        <w:rPr>
          <w:color w:val="000000"/>
          <w:rFonts w:ascii="仿宋_GB2312" w:hAnsi="仿宋_GB2312"/>
          <w:sz w:val="32"/>
          <w:szCs w:val="32"/>
          <w:shd w:fill="FFFFFF"/>
        </w:rPr>
        <w:t>增长</w:t>
      </w:r>
      <w:r>
        <w:rPr>
          <w:color w:val="000000"/>
          <w:rFonts w:ascii="仿宋_GB2312" w:hAnsi="仿宋_GB2312"/>
          <w:sz w:val="32"/>
          <w:szCs w:val="32"/>
          <w:shd w:fill="FFFFFF"/>
        </w:rPr>
        <w:t>原因主要是</w:t>
      </w:r>
      <w:r>
        <w:rPr>
          <w:color w:val="000000"/>
          <w:rFonts w:ascii="仿宋_GB2312" w:hAnsi="仿宋_GB2312"/>
          <w:sz w:val="32"/>
          <w:szCs w:val="32"/>
          <w:shd w:fill="FFFFFF"/>
        </w:rPr>
        <w:t>养老保险基数调增。</w:t>
      </w:r>
    </w:p>
    <w:p>
      <w:pPr>
        <w:pStyle w:val=""/>
        <w:jc w:val="both"/>
        <w:ind w:firstLine="640"/>
        <w:spacing w:before="0" w:after="0" w:line="600" w:lineRule="exact"/>
        <w:rPr>
          <w:color w:val="000000"/>
          <w:rFonts w:ascii="仿宋_GB2312" w:hAnsi="仿宋_GB2312"/>
          <w:sz w:val="32"/>
          <w:szCs w:val="32"/>
          <w:shd w:fill="FFFFFF"/>
        </w:rPr>
      </w:pPr>
      <w:r>
        <w:rPr>
          <w:b/>
          <w:color w:val="000000"/>
          <w:rFonts w:ascii="仿宋_GB2312" w:hAnsi="仿宋_GB2312"/>
          <w:sz w:val="32"/>
          <w:szCs w:val="32"/>
          <w:shd w:fill="FFFFFF"/>
        </w:rPr>
        <w:t>5、</w:t>
      </w:r>
      <w:r>
        <w:rPr>
          <w:b/>
          <w:color w:val="000000"/>
          <w:rFonts w:ascii="仿宋_GB2312" w:hAnsi="仿宋_GB2312"/>
          <w:sz w:val="32"/>
          <w:szCs w:val="32"/>
          <w:shd w:fill="FFFFFF"/>
        </w:rPr>
        <w:t>社会保障和就业（类）行政事业单位养老支出（款）机关事业单位职业年金缴费支出（项）。</w:t>
      </w:r>
      <w:r>
        <w:rPr>
          <w:color w:val="000000"/>
          <w:rFonts w:ascii="仿宋_GB2312" w:hAnsi="仿宋_GB2312"/>
          <w:sz w:val="32"/>
          <w:szCs w:val="32"/>
          <w:shd w:fill="FFFFFF"/>
        </w:rPr>
        <w:t>2023年预算14.13</w:t>
      </w:r>
      <w:r>
        <w:rPr>
          <w:color w:val="000000"/>
          <w:rFonts w:ascii="仿宋_GB2312" w:hAnsi="仿宋_GB2312"/>
          <w:sz w:val="32"/>
          <w:szCs w:val="32"/>
          <w:shd w:fill="FFFFFF"/>
        </w:rPr>
        <w:t>万元</w:t>
      </w:r>
      <w:r>
        <w:rPr>
          <w:color w:val="000000"/>
          <w:rFonts w:ascii="仿宋_GB2312" w:hAnsi="仿宋_GB2312"/>
          <w:sz w:val="32"/>
          <w:szCs w:val="32"/>
          <w:shd w:fill="FFFFFF"/>
        </w:rPr>
        <w:t>，</w:t>
      </w:r>
      <w:r>
        <w:rPr>
          <w:color w:val="000000"/>
          <w:rFonts w:ascii="仿宋_GB2312" w:hAnsi="仿宋_GB2312"/>
          <w:sz w:val="32"/>
          <w:szCs w:val="32"/>
          <w:shd w:fill="FFFFFF"/>
        </w:rPr>
        <w:t>比202</w:t>
      </w:r>
      <w:r>
        <w:rPr>
          <w:color w:val="000000"/>
          <w:rFonts w:ascii="仿宋_GB2312" w:hAnsi="仿宋_GB2312"/>
          <w:sz w:val="32"/>
          <w:szCs w:val="32"/>
          <w:shd w:fill="FFFFFF"/>
        </w:rPr>
        <w:t>2</w:t>
      </w:r>
      <w:r>
        <w:rPr>
          <w:color w:val="000000"/>
          <w:rFonts w:ascii="仿宋_GB2312" w:hAnsi="仿宋_GB2312"/>
          <w:sz w:val="32"/>
          <w:szCs w:val="32"/>
          <w:shd w:fill="FFFFFF"/>
        </w:rPr>
        <w:t>年预算</w:t>
      </w:r>
      <w:r>
        <w:rPr>
          <w:color w:val="000000"/>
          <w:rFonts w:ascii="仿宋_GB2312" w:hAnsi="仿宋_GB2312"/>
          <w:sz w:val="32"/>
          <w:szCs w:val="32"/>
          <w:shd w:fill="FFFFFF"/>
        </w:rPr>
        <w:t>增加</w:t>
      </w:r>
      <w:r>
        <w:rPr>
          <w:color w:val="000000"/>
          <w:rFonts w:ascii="仿宋_GB2312" w:hAnsi="仿宋_GB2312"/>
          <w:sz w:val="32"/>
          <w:szCs w:val="32"/>
          <w:shd w:fill="FFFFFF"/>
        </w:rPr>
        <w:t>3.26</w:t>
      </w:r>
      <w:r>
        <w:rPr>
          <w:color w:val="000000"/>
          <w:rFonts w:ascii="仿宋_GB2312" w:hAnsi="仿宋_GB2312"/>
          <w:sz w:val="32"/>
          <w:szCs w:val="32"/>
          <w:shd w:fill="FFFFFF"/>
        </w:rPr>
        <w:t>万元，</w:t>
      </w:r>
      <w:r>
        <w:rPr>
          <w:color w:val="000000"/>
          <w:rFonts w:ascii="仿宋_GB2312" w:hAnsi="仿宋_GB2312"/>
          <w:sz w:val="32"/>
          <w:szCs w:val="32"/>
          <w:shd w:fill="FFFFFF"/>
        </w:rPr>
        <w:t>增长</w:t>
      </w:r>
      <w:r>
        <w:rPr>
          <w:color w:val="000000"/>
          <w:rFonts w:ascii="仿宋_GB2312" w:hAnsi="仿宋_GB2312"/>
          <w:sz w:val="32"/>
          <w:szCs w:val="32"/>
          <w:shd w:fill="FFFFFF"/>
        </w:rPr>
        <w:t xml:space="preserve">29.99 </w:t>
      </w:r>
      <w:r>
        <w:rPr>
          <w:color w:val="000000"/>
          <w:rFonts w:ascii="仿宋_GB2312" w:hAnsi="仿宋_GB2312"/>
          <w:sz w:val="32"/>
          <w:szCs w:val="32"/>
          <w:shd w:fill="FFFFFF"/>
        </w:rPr>
        <w:t>%，</w:t>
      </w:r>
      <w:r>
        <w:rPr>
          <w:color w:val="000000"/>
          <w:rFonts w:ascii="仿宋_GB2312" w:hAnsi="仿宋_GB2312"/>
          <w:sz w:val="32"/>
          <w:szCs w:val="32"/>
          <w:shd w:fill="FFFFFF"/>
        </w:rPr>
        <w:t>增长</w:t>
      </w:r>
      <w:r>
        <w:rPr>
          <w:color w:val="000000"/>
          <w:rFonts w:ascii="仿宋_GB2312" w:hAnsi="仿宋_GB2312"/>
          <w:sz w:val="32"/>
          <w:szCs w:val="32"/>
          <w:shd w:fill="FFFFFF"/>
        </w:rPr>
        <w:t>原因主要是机关事业单位职业年金单位缴纳部分全部按月实账缴费。</w:t>
      </w:r>
    </w:p>
    <w:p>
      <w:pPr>
        <w:pStyle w:val=""/>
        <w:jc w:val="both"/>
        <w:ind w:firstLine="640"/>
        <w:spacing w:before="0" w:after="0" w:line="600" w:lineRule="exact"/>
        <w:rPr>
          <w:color w:val="000000"/>
          <w:rFonts w:ascii="仿宋_GB2312" w:hAnsi="仿宋_GB2312"/>
          <w:sz w:val="32"/>
          <w:szCs w:val="32"/>
          <w:shd w:fill="FFFFFF"/>
        </w:rPr>
      </w:pPr>
      <w:r>
        <w:rPr>
          <w:b/>
          <w:color w:val="000000"/>
          <w:rFonts w:ascii="仿宋_GB2312" w:hAnsi="仿宋_GB2312"/>
          <w:sz w:val="32"/>
          <w:szCs w:val="32"/>
          <w:shd w:fill="FFFFFF"/>
        </w:rPr>
        <w:t>6、</w:t>
      </w:r>
      <w:r>
        <w:rPr>
          <w:b/>
          <w:color w:val="000000"/>
          <w:rFonts w:ascii="仿宋_GB2312" w:hAnsi="仿宋_GB2312"/>
          <w:sz w:val="32"/>
          <w:szCs w:val="32"/>
          <w:shd w:fill="FFFFFF"/>
        </w:rPr>
        <w:t>社会保障和就业（类）其他社会保障和就业支出（款）其他社会保障和就业支出（项）。</w:t>
      </w:r>
      <w:r>
        <w:rPr>
          <w:color w:val="000000"/>
          <w:rFonts w:ascii="仿宋_GB2312" w:hAnsi="仿宋_GB2312"/>
          <w:sz w:val="32"/>
          <w:szCs w:val="32"/>
          <w:shd w:fill="FFFFFF"/>
        </w:rPr>
        <w:t>2023年预算1.79</w:t>
      </w:r>
      <w:r>
        <w:rPr>
          <w:color w:val="000000"/>
          <w:rFonts w:ascii="仿宋_GB2312" w:hAnsi="仿宋_GB2312"/>
          <w:sz w:val="32"/>
          <w:szCs w:val="32"/>
          <w:shd w:fill="FFFFFF"/>
        </w:rPr>
        <w:t>万元</w:t>
      </w:r>
      <w:r>
        <w:rPr>
          <w:color w:val="000000"/>
          <w:rFonts w:ascii="仿宋_GB2312" w:hAnsi="仿宋_GB2312"/>
          <w:sz w:val="32"/>
          <w:szCs w:val="32"/>
          <w:shd w:fill="FFFFFF"/>
        </w:rPr>
        <w:t>，</w:t>
      </w:r>
      <w:r>
        <w:rPr>
          <w:color w:val="000000"/>
          <w:rFonts w:ascii="仿宋_GB2312" w:hAnsi="仿宋_GB2312"/>
          <w:sz w:val="32"/>
          <w:szCs w:val="32"/>
          <w:shd w:fill="FFFFFF"/>
        </w:rPr>
        <w:t>比202</w:t>
      </w:r>
      <w:r>
        <w:rPr>
          <w:color w:val="000000"/>
          <w:rFonts w:ascii="仿宋_GB2312" w:hAnsi="仿宋_GB2312"/>
          <w:sz w:val="32"/>
          <w:szCs w:val="32"/>
          <w:shd w:fill="FFFFFF"/>
        </w:rPr>
        <w:t>2</w:t>
      </w:r>
      <w:r>
        <w:rPr>
          <w:color w:val="000000"/>
          <w:rFonts w:ascii="仿宋_GB2312" w:hAnsi="仿宋_GB2312"/>
          <w:sz w:val="32"/>
          <w:szCs w:val="32"/>
          <w:shd w:fill="FFFFFF"/>
        </w:rPr>
        <w:t>年预算</w:t>
      </w:r>
      <w:r>
        <w:rPr>
          <w:color w:val="000000"/>
          <w:rFonts w:ascii="仿宋_GB2312" w:hAnsi="仿宋_GB2312"/>
          <w:sz w:val="32"/>
          <w:szCs w:val="32"/>
          <w:shd w:fill="FFFFFF"/>
        </w:rPr>
        <w:t>减少</w:t>
      </w:r>
      <w:r>
        <w:rPr>
          <w:color w:val="000000"/>
          <w:rFonts w:ascii="仿宋_GB2312" w:hAnsi="仿宋_GB2312"/>
          <w:sz w:val="32"/>
          <w:szCs w:val="32"/>
          <w:shd w:fill="FFFFFF"/>
        </w:rPr>
        <w:t>2.16</w:t>
      </w:r>
      <w:r>
        <w:rPr>
          <w:color w:val="000000"/>
          <w:rFonts w:ascii="仿宋_GB2312" w:hAnsi="仿宋_GB2312"/>
          <w:sz w:val="32"/>
          <w:szCs w:val="32"/>
          <w:shd w:fill="FFFFFF"/>
        </w:rPr>
        <w:t>万元，</w:t>
      </w:r>
      <w:r>
        <w:rPr>
          <w:color w:val="000000"/>
          <w:rFonts w:ascii="仿宋_GB2312" w:hAnsi="仿宋_GB2312"/>
          <w:sz w:val="32"/>
          <w:szCs w:val="32"/>
          <w:shd w:fill="FFFFFF"/>
        </w:rPr>
        <w:t>减少</w:t>
      </w:r>
      <w:r>
        <w:rPr>
          <w:color w:val="000000"/>
          <w:rFonts w:ascii="仿宋_GB2312" w:hAnsi="仿宋_GB2312"/>
          <w:sz w:val="32"/>
          <w:szCs w:val="32"/>
          <w:shd w:fill="FFFFFF"/>
        </w:rPr>
        <w:t>54.68</w:t>
      </w:r>
      <w:r>
        <w:rPr>
          <w:color w:val="000000"/>
          <w:rFonts w:ascii="仿宋_GB2312" w:hAnsi="仿宋_GB2312"/>
          <w:sz w:val="32"/>
          <w:szCs w:val="32"/>
          <w:shd w:fill="FFFFFF"/>
        </w:rPr>
        <w:t>%，</w:t>
      </w:r>
      <w:r>
        <w:rPr>
          <w:color w:val="000000"/>
          <w:rFonts w:ascii="仿宋_GB2312" w:hAnsi="仿宋_GB2312"/>
          <w:sz w:val="32"/>
          <w:szCs w:val="32"/>
          <w:shd w:fill="FFFFFF"/>
        </w:rPr>
        <w:t>减少</w:t>
      </w:r>
      <w:r>
        <w:rPr>
          <w:color w:val="000000"/>
          <w:rFonts w:ascii="仿宋_GB2312" w:hAnsi="仿宋_GB2312"/>
          <w:sz w:val="32"/>
          <w:szCs w:val="32"/>
          <w:shd w:fill="FFFFFF"/>
        </w:rPr>
        <w:t>原因主要是</w:t>
      </w:r>
      <w:r>
        <w:rPr>
          <w:color w:val="000000"/>
          <w:rFonts w:ascii="仿宋_GB2312" w:hAnsi="仿宋_GB2312"/>
          <w:sz w:val="32"/>
          <w:szCs w:val="32"/>
          <w:shd w:fill="FFFFFF"/>
        </w:rPr>
        <w:t>2023年预算不含</w:t>
      </w:r>
      <w:r>
        <w:rPr>
          <w:color w:val="000000"/>
          <w:rFonts w:ascii="仿宋_GB2312" w:hAnsi="仿宋_GB2312"/>
          <w:sz w:val="32"/>
          <w:szCs w:val="32"/>
          <w:shd w:fill="FFFFFF"/>
        </w:rPr>
        <w:t>部分人员失业工伤保险。</w:t>
      </w:r>
    </w:p>
    <w:p>
      <w:pPr>
        <w:pStyle w:val=""/>
        <w:jc w:val="both"/>
        <w:ind w:firstLine="640"/>
        <w:spacing w:before="0" w:after="0" w:line="600" w:lineRule="exact"/>
        <w:rPr>
          <w:color w:val="000000"/>
          <w:rFonts w:ascii="仿宋_GB2312" w:hAnsi="仿宋_GB2312"/>
          <w:sz w:val="32"/>
          <w:szCs w:val="32"/>
          <w:shd w:fill="FFFFFF"/>
        </w:rPr>
      </w:pPr>
      <w:r>
        <w:rPr>
          <w:color w:val="000000"/>
          <w:rFonts w:ascii="仿宋_GB2312" w:hAnsi="仿宋_GB2312"/>
          <w:sz w:val="32"/>
          <w:szCs w:val="32"/>
          <w:shd w:fill="FFFFFF"/>
        </w:rPr>
        <w:t>7.</w:t>
      </w:r>
      <w:r>
        <w:rPr>
          <w:b/>
          <w:color w:val="000000"/>
          <w:rFonts w:ascii="仿宋_GB2312" w:hAnsi="仿宋_GB2312"/>
          <w:sz w:val="32"/>
          <w:szCs w:val="32"/>
          <w:shd w:fill="FFFFFF"/>
        </w:rPr>
        <w:t>医疗卫生与计划生育支出（类）行政事业单位医疗（款）行政单位医疗（项）。</w:t>
      </w:r>
      <w:r>
        <w:rPr>
          <w:color w:val="000000"/>
          <w:rFonts w:ascii="仿宋_GB2312" w:hAnsi="仿宋_GB2312"/>
          <w:sz w:val="32"/>
          <w:szCs w:val="32"/>
          <w:shd w:fill="FFFFFF"/>
        </w:rPr>
        <w:t>2023年预算11.07</w:t>
      </w:r>
      <w:r>
        <w:rPr>
          <w:color w:val="000000"/>
          <w:rFonts w:ascii="仿宋_GB2312" w:hAnsi="仿宋_GB2312"/>
          <w:sz w:val="32"/>
          <w:szCs w:val="32"/>
          <w:shd w:fill="FFFFFF"/>
        </w:rPr>
        <w:t>万元</w:t>
      </w:r>
      <w:r>
        <w:rPr>
          <w:color w:val="000000"/>
          <w:rFonts w:ascii="仿宋_GB2312" w:hAnsi="仿宋_GB2312"/>
          <w:sz w:val="32"/>
          <w:szCs w:val="32"/>
          <w:shd w:fill="FFFFFF"/>
        </w:rPr>
        <w:t>，</w:t>
      </w:r>
      <w:r>
        <w:rPr>
          <w:color w:val="000000"/>
          <w:rFonts w:ascii="仿宋_GB2312" w:hAnsi="仿宋_GB2312"/>
          <w:sz w:val="32"/>
          <w:szCs w:val="32"/>
          <w:shd w:fill="FFFFFF"/>
        </w:rPr>
        <w:t>比202</w:t>
      </w:r>
      <w:r>
        <w:rPr>
          <w:color w:val="000000"/>
          <w:rFonts w:ascii="仿宋_GB2312" w:hAnsi="仿宋_GB2312"/>
          <w:sz w:val="32"/>
          <w:szCs w:val="32"/>
          <w:shd w:fill="FFFFFF"/>
        </w:rPr>
        <w:t>2</w:t>
      </w:r>
      <w:r>
        <w:rPr>
          <w:color w:val="000000"/>
          <w:rFonts w:ascii="仿宋_GB2312" w:hAnsi="仿宋_GB2312"/>
          <w:sz w:val="32"/>
          <w:szCs w:val="32"/>
          <w:shd w:fill="FFFFFF"/>
        </w:rPr>
        <w:t>年预算</w:t>
      </w:r>
      <w:r>
        <w:rPr>
          <w:color w:val="000000"/>
          <w:rFonts w:ascii="仿宋_GB2312" w:hAnsi="仿宋_GB2312"/>
          <w:sz w:val="32"/>
          <w:szCs w:val="32"/>
          <w:shd w:fill="FFFFFF"/>
        </w:rPr>
        <w:t>减少</w:t>
      </w:r>
      <w:r>
        <w:rPr>
          <w:color w:val="000000"/>
          <w:rFonts w:ascii="仿宋_GB2312" w:hAnsi="仿宋_GB2312"/>
          <w:sz w:val="32"/>
          <w:szCs w:val="32"/>
          <w:shd w:fill="FFFFFF"/>
        </w:rPr>
        <w:t>0.51</w:t>
      </w:r>
      <w:r>
        <w:rPr>
          <w:color w:val="000000"/>
          <w:rFonts w:ascii="仿宋_GB2312" w:hAnsi="仿宋_GB2312"/>
          <w:sz w:val="32"/>
          <w:szCs w:val="32"/>
          <w:shd w:fill="FFFFFF"/>
        </w:rPr>
        <w:t>万元，</w:t>
      </w:r>
      <w:r>
        <w:rPr>
          <w:color w:val="000000"/>
          <w:rFonts w:ascii="仿宋_GB2312" w:hAnsi="仿宋_GB2312"/>
          <w:sz w:val="32"/>
          <w:szCs w:val="32"/>
          <w:shd w:fill="FFFFFF"/>
        </w:rPr>
        <w:t>减少</w:t>
      </w:r>
      <w:r>
        <w:rPr>
          <w:color w:val="000000"/>
          <w:rFonts w:ascii="仿宋_GB2312" w:hAnsi="仿宋_GB2312"/>
          <w:sz w:val="32"/>
          <w:szCs w:val="32"/>
          <w:shd w:fill="FFFFFF"/>
        </w:rPr>
        <w:t>4.40</w:t>
      </w:r>
      <w:r>
        <w:rPr>
          <w:color w:val="000000"/>
          <w:rFonts w:ascii="仿宋_GB2312" w:hAnsi="仿宋_GB2312"/>
          <w:sz w:val="32"/>
          <w:szCs w:val="32"/>
          <w:shd w:fill="FFFFFF"/>
        </w:rPr>
        <w:t>%，</w:t>
      </w:r>
      <w:r>
        <w:rPr>
          <w:color w:val="000000"/>
          <w:rFonts w:ascii="仿宋_GB2312" w:hAnsi="仿宋_GB2312"/>
          <w:sz w:val="32"/>
          <w:szCs w:val="32"/>
          <w:shd w:fill="FFFFFF"/>
        </w:rPr>
        <w:t>减少</w:t>
      </w:r>
      <w:r>
        <w:rPr>
          <w:color w:val="000000"/>
          <w:rFonts w:ascii="仿宋_GB2312" w:hAnsi="仿宋_GB2312"/>
          <w:sz w:val="32"/>
          <w:szCs w:val="32"/>
          <w:shd w:fill="FFFFFF"/>
        </w:rPr>
        <w:t>原因主要是</w:t>
      </w:r>
      <w:r>
        <w:rPr>
          <w:color w:val="000000"/>
          <w:rFonts w:ascii="仿宋_GB2312" w:hAnsi="仿宋_GB2312"/>
          <w:sz w:val="32"/>
          <w:szCs w:val="32"/>
          <w:shd w:fill="FFFFFF"/>
        </w:rPr>
        <w:t>行政人员退休。</w:t>
      </w:r>
    </w:p>
    <w:p>
      <w:pPr>
        <w:pStyle w:val=""/>
        <w:jc w:val="both"/>
        <w:ind w:firstLine="640"/>
        <w:spacing w:before="0" w:after="0" w:line="600" w:lineRule="exact"/>
        <w:rPr>
          <w:color w:val="000000"/>
          <w:rFonts w:ascii="仿宋_GB2312" w:hAnsi="仿宋_GB2312"/>
          <w:sz w:val="32"/>
          <w:szCs w:val="32"/>
          <w:shd w:fill="FFFFFF"/>
        </w:rPr>
      </w:pPr>
      <w:r>
        <w:rPr>
          <w:b/>
          <w:color w:val="000000"/>
          <w:rFonts w:ascii="仿宋_GB2312" w:hAnsi="仿宋_GB2312"/>
          <w:sz w:val="32"/>
          <w:szCs w:val="32"/>
          <w:shd w:fill="FFFFFF"/>
        </w:rPr>
        <w:t>8.</w:t>
      </w:r>
      <w:r>
        <w:rPr>
          <w:b/>
          <w:color w:val="000000"/>
          <w:rFonts w:ascii="仿宋_GB2312" w:hAnsi="仿宋_GB2312"/>
          <w:sz w:val="32"/>
          <w:szCs w:val="32"/>
          <w:shd w:fill="FFFFFF"/>
        </w:rPr>
        <w:t>医疗卫生与计划生育支出（类）行政事业单位医疗（款）</w:t>
      </w:r>
      <w:r>
        <w:rPr>
          <w:b/>
          <w:color w:val="000000"/>
          <w:rFonts w:ascii="仿宋_GB2312" w:hAnsi="仿宋_GB2312"/>
          <w:sz w:val="32"/>
          <w:szCs w:val="32"/>
          <w:shd w:fill="FFFFFF"/>
        </w:rPr>
        <w:t>事业单位医疗</w:t>
      </w:r>
      <w:r>
        <w:rPr>
          <w:b/>
          <w:color w:val="000000"/>
          <w:rFonts w:ascii="仿宋_GB2312" w:hAnsi="仿宋_GB2312"/>
          <w:sz w:val="32"/>
          <w:szCs w:val="32"/>
          <w:shd w:fill="FFFFFF"/>
        </w:rPr>
        <w:t>（项）。</w:t>
      </w:r>
      <w:r>
        <w:rPr>
          <w:color w:val="000000"/>
          <w:rFonts w:ascii="仿宋_GB2312" w:hAnsi="仿宋_GB2312"/>
          <w:sz w:val="32"/>
          <w:szCs w:val="32"/>
          <w:shd w:fill="FFFFFF"/>
        </w:rPr>
        <w:t>2023年预算0.03</w:t>
      </w:r>
      <w:r>
        <w:rPr>
          <w:color w:val="000000"/>
          <w:rFonts w:ascii="仿宋_GB2312" w:hAnsi="仿宋_GB2312"/>
          <w:sz w:val="32"/>
          <w:szCs w:val="32"/>
          <w:shd w:fill="FFFFFF"/>
        </w:rPr>
        <w:t>万元</w:t>
      </w:r>
      <w:r>
        <w:rPr>
          <w:color w:val="000000"/>
          <w:rFonts w:ascii="仿宋_GB2312" w:hAnsi="仿宋_GB2312"/>
          <w:sz w:val="32"/>
          <w:szCs w:val="32"/>
          <w:shd w:fill="FFFFFF"/>
        </w:rPr>
        <w:t>，与</w:t>
      </w:r>
      <w:r>
        <w:rPr>
          <w:color w:val="000000"/>
          <w:rFonts w:ascii="仿宋_GB2312" w:hAnsi="仿宋_GB2312"/>
          <w:sz w:val="32"/>
          <w:szCs w:val="32"/>
          <w:shd w:fill="FFFFFF"/>
        </w:rPr>
        <w:t>2022年预算一致。</w:t>
      </w:r>
    </w:p>
    <w:p>
      <w:pPr>
        <w:pStyle w:val=""/>
        <w:jc w:val="both"/>
        <w:ind w:firstLine="640"/>
        <w:spacing w:before="0" w:after="0" w:line="600" w:lineRule="exact"/>
        <w:rPr>
          <w:color w:val="000000"/>
          <w:rFonts w:ascii="仿宋_GB2312" w:hAnsi="仿宋_GB2312"/>
          <w:sz w:val="32"/>
          <w:szCs w:val="32"/>
          <w:shd w:fill="FFFFFF"/>
        </w:rPr>
      </w:pPr>
      <w:r>
        <w:rPr>
          <w:b/>
          <w:color w:val="000000"/>
          <w:rFonts w:ascii="仿宋_GB2312" w:hAnsi="仿宋_GB2312"/>
          <w:sz w:val="32"/>
          <w:szCs w:val="32"/>
          <w:shd w:fill="FFFFFF"/>
        </w:rPr>
        <w:t>9.</w:t>
      </w:r>
      <w:r>
        <w:rPr>
          <w:b/>
          <w:color w:val="000000"/>
          <w:rFonts w:ascii="仿宋_GB2312" w:hAnsi="仿宋_GB2312"/>
          <w:sz w:val="32"/>
          <w:szCs w:val="32"/>
          <w:shd w:fill="FFFFFF"/>
        </w:rPr>
        <w:t>医疗卫生与计划生育支出（类）医疗救助（款）</w:t>
      </w:r>
      <w:r>
        <w:rPr>
          <w:b/>
          <w:color w:val="000000"/>
          <w:rFonts w:ascii="仿宋_GB2312" w:hAnsi="仿宋_GB2312"/>
          <w:sz w:val="32"/>
          <w:szCs w:val="32"/>
          <w:shd w:fill="FFFFFF"/>
        </w:rPr>
        <w:t>公务员医疗补助</w:t>
      </w:r>
      <w:r>
        <w:rPr>
          <w:b/>
          <w:color w:val="000000"/>
          <w:rFonts w:ascii="仿宋_GB2312" w:hAnsi="仿宋_GB2312"/>
          <w:sz w:val="32"/>
          <w:szCs w:val="32"/>
          <w:shd w:fill="FFFFFF"/>
        </w:rPr>
        <w:t>支出（项）。</w:t>
      </w:r>
      <w:r>
        <w:rPr>
          <w:color w:val="000000"/>
          <w:rFonts w:ascii="仿宋_GB2312" w:hAnsi="仿宋_GB2312"/>
          <w:sz w:val="32"/>
          <w:szCs w:val="32"/>
          <w:shd w:fill="FFFFFF"/>
        </w:rPr>
        <w:t>2023年预算1.85</w:t>
      </w:r>
      <w:r>
        <w:rPr>
          <w:color w:val="000000"/>
          <w:rFonts w:ascii="仿宋_GB2312" w:hAnsi="仿宋_GB2312"/>
          <w:sz w:val="32"/>
          <w:szCs w:val="32"/>
          <w:shd w:fill="FFFFFF"/>
        </w:rPr>
        <w:t>万元</w:t>
      </w:r>
      <w:r>
        <w:rPr>
          <w:color w:val="000000"/>
          <w:rFonts w:ascii="仿宋_GB2312" w:hAnsi="仿宋_GB2312"/>
          <w:sz w:val="32"/>
          <w:szCs w:val="32"/>
          <w:shd w:fill="FFFFFF"/>
        </w:rPr>
        <w:t>，</w:t>
      </w:r>
      <w:r>
        <w:rPr>
          <w:color w:val="000000"/>
          <w:rFonts w:ascii="仿宋_GB2312" w:hAnsi="仿宋_GB2312"/>
          <w:sz w:val="32"/>
          <w:szCs w:val="32"/>
          <w:shd w:fill="FFFFFF"/>
        </w:rPr>
        <w:t>比202</w:t>
      </w:r>
      <w:r>
        <w:rPr>
          <w:color w:val="000000"/>
          <w:rFonts w:ascii="仿宋_GB2312" w:hAnsi="仿宋_GB2312"/>
          <w:sz w:val="32"/>
          <w:szCs w:val="32"/>
          <w:shd w:fill="FFFFFF"/>
        </w:rPr>
        <w:t>2</w:t>
      </w:r>
      <w:r>
        <w:rPr>
          <w:color w:val="000000"/>
          <w:rFonts w:ascii="仿宋_GB2312" w:hAnsi="仿宋_GB2312"/>
          <w:sz w:val="32"/>
          <w:szCs w:val="32"/>
          <w:shd w:fill="FFFFFF"/>
        </w:rPr>
        <w:t>年预算</w:t>
      </w:r>
      <w:r>
        <w:rPr>
          <w:color w:val="000000"/>
          <w:rFonts w:ascii="仿宋_GB2312" w:hAnsi="仿宋_GB2312"/>
          <w:sz w:val="32"/>
          <w:szCs w:val="32"/>
          <w:shd w:fill="FFFFFF"/>
        </w:rPr>
        <w:t>减少</w:t>
      </w:r>
      <w:r>
        <w:rPr>
          <w:color w:val="000000"/>
          <w:rFonts w:ascii="仿宋_GB2312" w:hAnsi="仿宋_GB2312"/>
          <w:sz w:val="32"/>
          <w:szCs w:val="32"/>
          <w:shd w:fill="FFFFFF"/>
        </w:rPr>
        <w:t xml:space="preserve"> 0.06</w:t>
      </w:r>
      <w:r>
        <w:rPr>
          <w:color w:val="000000"/>
          <w:rFonts w:ascii="仿宋_GB2312" w:hAnsi="仿宋_GB2312"/>
          <w:sz w:val="32"/>
          <w:szCs w:val="32"/>
          <w:shd w:fill="FFFFFF"/>
        </w:rPr>
        <w:t>万元，</w:t>
      </w:r>
      <w:r>
        <w:rPr>
          <w:color w:val="000000"/>
          <w:rFonts w:ascii="仿宋_GB2312" w:hAnsi="仿宋_GB2312"/>
          <w:sz w:val="32"/>
          <w:szCs w:val="32"/>
          <w:shd w:fill="FFFFFF"/>
        </w:rPr>
        <w:t>下降</w:t>
      </w:r>
      <w:r>
        <w:rPr>
          <w:color w:val="000000"/>
          <w:rFonts w:ascii="仿宋_GB2312" w:hAnsi="仿宋_GB2312"/>
          <w:sz w:val="32"/>
          <w:szCs w:val="32"/>
          <w:shd w:fill="FFFFFF"/>
        </w:rPr>
        <w:t>3.14</w:t>
      </w:r>
      <w:r>
        <w:rPr>
          <w:color w:val="000000"/>
          <w:rFonts w:ascii="仿宋_GB2312" w:hAnsi="仿宋_GB2312"/>
          <w:sz w:val="32"/>
          <w:szCs w:val="32"/>
          <w:shd w:fill="FFFFFF"/>
        </w:rPr>
        <w:t>%，</w:t>
      </w:r>
      <w:r>
        <w:rPr>
          <w:color w:val="000000"/>
          <w:rFonts w:ascii="仿宋_GB2312" w:hAnsi="仿宋_GB2312"/>
          <w:sz w:val="32"/>
          <w:szCs w:val="32"/>
          <w:shd w:fill="FFFFFF"/>
        </w:rPr>
        <w:t>下降</w:t>
      </w:r>
      <w:r>
        <w:rPr>
          <w:color w:val="000000"/>
          <w:rFonts w:ascii="仿宋_GB2312" w:hAnsi="仿宋_GB2312"/>
          <w:sz w:val="32"/>
          <w:szCs w:val="32"/>
          <w:shd w:fill="FFFFFF"/>
        </w:rPr>
        <w:t>原因主要是</w:t>
      </w:r>
      <w:r>
        <w:rPr>
          <w:color w:val="000000"/>
          <w:rFonts w:ascii="仿宋_GB2312" w:hAnsi="仿宋_GB2312"/>
          <w:sz w:val="32"/>
          <w:szCs w:val="32"/>
          <w:shd w:fill="FFFFFF"/>
        </w:rPr>
        <w:t>行政人员退休。</w:t>
      </w:r>
    </w:p>
    <w:p>
      <w:pPr>
        <w:pStyle w:val=""/>
        <w:jc w:val="both"/>
        <w:ind w:firstLine="420"/>
        <w:spacing w:before="0" w:after="0" w:line="600" w:lineRule="exact"/>
        <w:rPr>
          <w:color w:val="000000"/>
          <w:rFonts w:ascii="仿宋_GB2312" w:hAnsi="仿宋_GB2312"/>
          <w:sz w:val="32"/>
          <w:szCs w:val="32"/>
          <w:shd w:fill="FFFFFF"/>
        </w:rPr>
      </w:pPr>
      <w:r>
        <w:rPr>
          <w:b/>
          <w:color w:val="000000"/>
          <w:rFonts w:ascii="仿宋_GB2312" w:hAnsi="仿宋_GB2312"/>
          <w:sz w:val="32"/>
          <w:szCs w:val="32"/>
        </w:rPr>
        <w:t>10.</w:t>
      </w:r>
      <w:r>
        <w:rPr>
          <w:b/>
          <w:color w:val="000000"/>
          <w:rFonts w:ascii="仿宋_GB2312" w:hAnsi="仿宋_GB2312"/>
          <w:sz w:val="32"/>
          <w:szCs w:val="32"/>
        </w:rPr>
        <w:t>城乡社区支出（类）城乡社区管理事务（款）其他城乡社区管理事务支出（项）。</w:t>
      </w:r>
      <w:r>
        <w:rPr>
          <w:color w:val="000000"/>
          <w:rFonts w:ascii="仿宋_GB2312" w:hAnsi="仿宋_GB2312"/>
          <w:sz w:val="32"/>
          <w:szCs w:val="32"/>
          <w:shd w:fill="FFFFFF"/>
        </w:rPr>
        <w:t>2023年预算6.4万元，</w:t>
      </w:r>
      <w:r>
        <w:rPr>
          <w:color w:val="000000"/>
          <w:rFonts w:ascii="仿宋_GB2312" w:hAnsi="仿宋_GB2312"/>
          <w:sz w:val="32"/>
          <w:szCs w:val="32"/>
          <w:shd w:fill="FFFFFF"/>
        </w:rPr>
        <w:t>比202</w:t>
      </w:r>
      <w:r>
        <w:rPr>
          <w:color w:val="000000"/>
          <w:rFonts w:ascii="仿宋_GB2312" w:hAnsi="仿宋_GB2312"/>
          <w:sz w:val="32"/>
          <w:szCs w:val="32"/>
          <w:shd w:fill="FFFFFF"/>
        </w:rPr>
        <w:t>2</w:t>
      </w:r>
      <w:r>
        <w:rPr>
          <w:color w:val="000000"/>
          <w:rFonts w:ascii="仿宋_GB2312" w:hAnsi="仿宋_GB2312"/>
          <w:sz w:val="32"/>
          <w:szCs w:val="32"/>
          <w:shd w:fill="FFFFFF"/>
        </w:rPr>
        <w:t>年预算</w:t>
      </w:r>
      <w:r>
        <w:rPr>
          <w:color w:val="000000"/>
          <w:rFonts w:ascii="仿宋_GB2312" w:hAnsi="仿宋_GB2312"/>
          <w:sz w:val="32"/>
          <w:szCs w:val="32"/>
          <w:shd w:fill="FFFFFF"/>
        </w:rPr>
        <w:t>增加</w:t>
      </w:r>
      <w:r>
        <w:rPr>
          <w:color w:val="000000"/>
          <w:rFonts w:ascii="仿宋_GB2312" w:hAnsi="仿宋_GB2312"/>
          <w:sz w:val="32"/>
          <w:szCs w:val="32"/>
          <w:shd w:fill="FFFFFF"/>
        </w:rPr>
        <w:t>6.4</w:t>
      </w:r>
      <w:r>
        <w:rPr>
          <w:color w:val="000000"/>
          <w:rFonts w:ascii="仿宋_GB2312" w:hAnsi="仿宋_GB2312"/>
          <w:sz w:val="32"/>
          <w:szCs w:val="32"/>
          <w:shd w:fill="FFFFFF"/>
        </w:rPr>
        <w:t>万元，</w:t>
      </w:r>
      <w:r>
        <w:rPr>
          <w:color w:val="000000"/>
          <w:rFonts w:ascii="仿宋_GB2312" w:hAnsi="仿宋_GB2312"/>
          <w:sz w:val="32"/>
          <w:szCs w:val="32"/>
          <w:shd w:fill="FFFFFF"/>
        </w:rPr>
        <w:t>增长</w:t>
      </w:r>
      <w:r>
        <w:rPr>
          <w:color w:val="000000"/>
          <w:rFonts w:ascii="仿宋_GB2312" w:hAnsi="仿宋_GB2312"/>
          <w:sz w:val="32"/>
          <w:szCs w:val="32"/>
          <w:shd w:fill="FFFFFF"/>
        </w:rPr>
        <w:t>100</w:t>
      </w:r>
      <w:r>
        <w:rPr>
          <w:color w:val="000000"/>
          <w:rFonts w:ascii="仿宋_GB2312" w:hAnsi="仿宋_GB2312"/>
          <w:sz w:val="32"/>
          <w:szCs w:val="32"/>
          <w:shd w:fill="FFFFFF"/>
        </w:rPr>
        <w:t>%，</w:t>
      </w:r>
      <w:r>
        <w:rPr>
          <w:color w:val="000000"/>
          <w:rFonts w:ascii="仿宋_GB2312" w:hAnsi="仿宋_GB2312"/>
          <w:sz w:val="32"/>
          <w:szCs w:val="32"/>
          <w:shd w:fill="FFFFFF"/>
        </w:rPr>
        <w:t>增长</w:t>
      </w:r>
      <w:r>
        <w:rPr>
          <w:color w:val="000000"/>
          <w:rFonts w:ascii="仿宋_GB2312" w:hAnsi="仿宋_GB2312"/>
          <w:sz w:val="32"/>
          <w:szCs w:val="32"/>
          <w:shd w:fill="FFFFFF"/>
        </w:rPr>
        <w:t>原因主要是</w:t>
      </w:r>
      <w:r>
        <w:rPr>
          <w:color w:val="000000"/>
          <w:rFonts w:ascii="仿宋_GB2312" w:hAnsi="仿宋_GB2312"/>
          <w:sz w:val="32"/>
          <w:szCs w:val="32"/>
          <w:shd w:fill="FFFFFF"/>
        </w:rPr>
        <w:t>新增预发基础绩效奖。</w:t>
      </w:r>
    </w:p>
    <w:p>
      <w:pPr>
        <w:pStyle w:val=""/>
        <w:jc w:val="both"/>
        <w:ind w:firstLine="420"/>
        <w:spacing w:before="0" w:after="0" w:line="600" w:lineRule="exact"/>
        <w:rPr>
          <w:color w:val="000000"/>
          <w:rFonts w:ascii="仿宋_GB2312" w:hAnsi="仿宋_GB2312"/>
          <w:sz w:val="32"/>
          <w:szCs w:val="32"/>
          <w:shd w:fill="FFFFFF"/>
        </w:rPr>
      </w:pPr>
      <w:r>
        <w:rPr>
          <w:b/>
          <w:color w:val="000000"/>
          <w:rFonts w:ascii="仿宋_GB2312" w:hAnsi="仿宋_GB2312"/>
          <w:sz w:val="32"/>
          <w:szCs w:val="32"/>
          <w:shd w:fill="FFFFFF"/>
        </w:rPr>
        <w:t>11.</w:t>
      </w:r>
      <w:r>
        <w:rPr>
          <w:b/>
          <w:color w:val="000000"/>
          <w:rFonts w:ascii="仿宋_GB2312" w:hAnsi="仿宋_GB2312"/>
          <w:sz w:val="32"/>
          <w:szCs w:val="32"/>
          <w:shd w:fill="FFFFFF"/>
        </w:rPr>
        <w:t>农林水支出（类）农业农村（款）农业生产发展（项）。</w:t>
      </w:r>
      <w:r>
        <w:rPr>
          <w:color w:val="000000"/>
          <w:rFonts w:ascii="仿宋_GB2312" w:hAnsi="仿宋_GB2312"/>
          <w:sz w:val="32"/>
          <w:szCs w:val="32"/>
          <w:shd w:fill="FFFFFF"/>
        </w:rPr>
        <w:t>2023年预算120</w:t>
      </w:r>
      <w:r>
        <w:rPr>
          <w:color w:val="000000"/>
          <w:rFonts w:ascii="仿宋_GB2312" w:hAnsi="仿宋_GB2312"/>
          <w:sz w:val="32"/>
          <w:szCs w:val="32"/>
          <w:shd w:fill="FFFFFF"/>
        </w:rPr>
        <w:t>万元，</w:t>
      </w:r>
      <w:r>
        <w:rPr>
          <w:color w:val="000000"/>
          <w:rFonts w:ascii="仿宋_GB2312" w:hAnsi="仿宋_GB2312"/>
          <w:sz w:val="32"/>
          <w:szCs w:val="32"/>
          <w:shd w:fill="FFFFFF"/>
        </w:rPr>
        <w:t>与</w:t>
      </w:r>
      <w:r>
        <w:rPr>
          <w:color w:val="000000"/>
          <w:rFonts w:ascii="仿宋_GB2312" w:hAnsi="仿宋_GB2312"/>
          <w:sz w:val="32"/>
          <w:szCs w:val="32"/>
          <w:shd w:fill="FFFFFF"/>
        </w:rPr>
        <w:t>202</w:t>
      </w:r>
      <w:r>
        <w:rPr>
          <w:color w:val="000000"/>
          <w:rFonts w:ascii="仿宋_GB2312" w:hAnsi="仿宋_GB2312"/>
          <w:sz w:val="32"/>
          <w:szCs w:val="32"/>
          <w:shd w:fill="FFFFFF"/>
        </w:rPr>
        <w:t>2</w:t>
      </w:r>
      <w:r>
        <w:rPr>
          <w:color w:val="000000"/>
          <w:rFonts w:ascii="仿宋_GB2312" w:hAnsi="仿宋_GB2312"/>
          <w:sz w:val="32"/>
          <w:szCs w:val="32"/>
          <w:shd w:fill="FFFFFF"/>
        </w:rPr>
        <w:t>年预算</w:t>
      </w:r>
      <w:r>
        <w:rPr>
          <w:color w:val="000000"/>
          <w:rFonts w:ascii="仿宋_GB2312" w:hAnsi="仿宋_GB2312"/>
          <w:sz w:val="32"/>
          <w:szCs w:val="32"/>
          <w:shd w:fill="FFFFFF"/>
        </w:rPr>
        <w:t>一致。</w:t>
      </w:r>
    </w:p>
    <w:p>
      <w:pPr>
        <w:pStyle w:val=""/>
        <w:jc w:val="both"/>
        <w:ind w:firstLine="420"/>
        <w:spacing w:before="0" w:after="0" w:line="600" w:lineRule="exact"/>
        <w:rPr>
          <w:color w:val="000000"/>
          <w:rFonts w:ascii="仿宋_GB2312" w:hAnsi="仿宋_GB2312"/>
          <w:sz w:val="32"/>
          <w:szCs w:val="32"/>
          <w:shd w:fill="FFFFFF"/>
        </w:rPr>
      </w:pPr>
      <w:r>
        <w:rPr>
          <w:b/>
          <w:color w:val="000000"/>
          <w:rFonts w:ascii="仿宋_GB2312" w:hAnsi="仿宋_GB2312"/>
          <w:sz w:val="32"/>
          <w:szCs w:val="32"/>
          <w:shd w:fill="FFFFFF"/>
        </w:rPr>
        <w:t>12.</w:t>
      </w:r>
      <w:r>
        <w:rPr>
          <w:b/>
          <w:color w:val="000000"/>
          <w:rFonts w:ascii="仿宋_GB2312" w:hAnsi="仿宋_GB2312"/>
          <w:sz w:val="32"/>
          <w:szCs w:val="32"/>
          <w:shd w:fill="FFFFFF"/>
        </w:rPr>
        <w:t>农林水支出（类）农业农村（款）</w:t>
      </w:r>
      <w:r>
        <w:rPr>
          <w:b/>
          <w:color w:val="000000"/>
          <w:rFonts w:ascii="仿宋_GB2312" w:hAnsi="仿宋_GB2312"/>
          <w:sz w:val="32"/>
          <w:szCs w:val="32"/>
          <w:shd w:fill="FFFFFF"/>
        </w:rPr>
        <w:t>对村级公益事业的补助</w:t>
      </w:r>
      <w:r>
        <w:rPr>
          <w:b/>
          <w:color w:val="000000"/>
          <w:rFonts w:ascii="仿宋_GB2312" w:hAnsi="仿宋_GB2312"/>
          <w:sz w:val="32"/>
          <w:szCs w:val="32"/>
          <w:shd w:fill="FFFFFF"/>
        </w:rPr>
        <w:t>（项）。</w:t>
      </w:r>
      <w:r>
        <w:rPr>
          <w:color w:val="000000"/>
          <w:rFonts w:ascii="仿宋_GB2312" w:hAnsi="仿宋_GB2312"/>
          <w:sz w:val="32"/>
          <w:szCs w:val="32"/>
          <w:shd w:fill="FFFFFF"/>
        </w:rPr>
        <w:t>2023年预算120</w:t>
      </w:r>
      <w:r>
        <w:rPr>
          <w:color w:val="000000"/>
          <w:rFonts w:ascii="仿宋_GB2312" w:hAnsi="仿宋_GB2312"/>
          <w:sz w:val="32"/>
          <w:szCs w:val="32"/>
          <w:shd w:fill="FFFFFF"/>
        </w:rPr>
        <w:t>万元，</w:t>
      </w:r>
      <w:r>
        <w:rPr>
          <w:color w:val="000000"/>
          <w:rFonts w:ascii="仿宋_GB2312" w:hAnsi="仿宋_GB2312"/>
          <w:sz w:val="32"/>
          <w:szCs w:val="32"/>
          <w:shd w:fill="FFFFFF"/>
        </w:rPr>
        <w:t>与</w:t>
      </w:r>
      <w:r>
        <w:rPr>
          <w:color w:val="000000"/>
          <w:rFonts w:ascii="仿宋_GB2312" w:hAnsi="仿宋_GB2312"/>
          <w:sz w:val="32"/>
          <w:szCs w:val="32"/>
          <w:shd w:fill="FFFFFF"/>
        </w:rPr>
        <w:t>202</w:t>
      </w:r>
      <w:r>
        <w:rPr>
          <w:color w:val="000000"/>
          <w:rFonts w:ascii="仿宋_GB2312" w:hAnsi="仿宋_GB2312"/>
          <w:sz w:val="32"/>
          <w:szCs w:val="32"/>
          <w:shd w:fill="FFFFFF"/>
        </w:rPr>
        <w:t>2</w:t>
      </w:r>
      <w:r>
        <w:rPr>
          <w:color w:val="000000"/>
          <w:rFonts w:ascii="仿宋_GB2312" w:hAnsi="仿宋_GB2312"/>
          <w:sz w:val="32"/>
          <w:szCs w:val="32"/>
          <w:shd w:fill="FFFFFF"/>
        </w:rPr>
        <w:t>年预算</w:t>
      </w:r>
      <w:r>
        <w:rPr>
          <w:color w:val="000000"/>
          <w:rFonts w:ascii="仿宋_GB2312" w:hAnsi="仿宋_GB2312"/>
          <w:sz w:val="32"/>
          <w:szCs w:val="32"/>
          <w:shd w:fill="FFFFFF"/>
        </w:rPr>
        <w:t>一致。</w:t>
      </w:r>
    </w:p>
    <w:p>
      <w:pPr>
        <w:pStyle w:val=""/>
        <w:jc w:val="both"/>
        <w:ind w:firstLine="643"/>
        <w:spacing w:before="0" w:after="0" w:line="600" w:lineRule="exact"/>
        <w:rPr>
          <w:color w:val="000000"/>
          <w:rFonts w:ascii="仿宋_GB2312" w:hAnsi="仿宋_GB2312"/>
          <w:sz w:val="32"/>
          <w:szCs w:val="32"/>
        </w:rPr>
      </w:pPr>
      <w:r>
        <w:rPr>
          <w:b/>
          <w:color w:val="000000"/>
          <w:rFonts w:ascii="仿宋_GB2312" w:hAnsi="仿宋_GB2312"/>
          <w:sz w:val="32"/>
          <w:szCs w:val="32"/>
          <w:shd w:fill="FFFFFF"/>
        </w:rPr>
        <w:t>13</w:t>
      </w:r>
      <w:r>
        <w:rPr>
          <w:b/>
          <w:color w:val="000000"/>
          <w:rFonts w:ascii="仿宋_GB2312" w:hAnsi="仿宋_GB2312"/>
          <w:sz w:val="32"/>
          <w:szCs w:val="32"/>
          <w:shd w:fill="FFFFFF"/>
        </w:rPr>
        <w:t>.</w:t>
      </w:r>
      <w:r>
        <w:rPr>
          <w:b/>
          <w:color w:val="000000"/>
          <w:rFonts w:ascii="仿宋_GB2312" w:hAnsi="仿宋_GB2312"/>
          <w:sz w:val="32"/>
          <w:szCs w:val="32"/>
        </w:rPr>
        <w:t>住房保障支出（类）住房改革支出（款）住房公积金（项）</w:t>
      </w:r>
      <w:r>
        <w:rPr>
          <w:b/>
          <w:color w:val="000000"/>
          <w:rFonts w:ascii="仿宋_GB2312" w:hAnsi="仿宋_GB2312"/>
          <w:sz w:val="32"/>
          <w:szCs w:val="32"/>
        </w:rPr>
        <w:t xml:space="preserve">  </w:t>
      </w:r>
      <w:r>
        <w:rPr>
          <w:color w:val="000000"/>
          <w:rFonts w:ascii="仿宋_GB2312" w:hAnsi="仿宋_GB2312"/>
          <w:sz w:val="32"/>
          <w:szCs w:val="32"/>
          <w:shd w:fill="FFFFFF"/>
        </w:rPr>
        <w:t>2023年预算39.06</w:t>
      </w:r>
      <w:r>
        <w:rPr>
          <w:color w:val="000000"/>
          <w:rFonts w:ascii="仿宋_GB2312" w:hAnsi="仿宋_GB2312"/>
          <w:sz w:val="32"/>
          <w:szCs w:val="32"/>
          <w:shd w:fill="FFFFFF"/>
        </w:rPr>
        <w:t>万元，比202</w:t>
      </w:r>
      <w:r>
        <w:rPr>
          <w:color w:val="000000"/>
          <w:rFonts w:ascii="仿宋_GB2312" w:hAnsi="仿宋_GB2312"/>
          <w:sz w:val="32"/>
          <w:szCs w:val="32"/>
          <w:shd w:fill="FFFFFF"/>
        </w:rPr>
        <w:t>2</w:t>
      </w:r>
      <w:r>
        <w:rPr>
          <w:color w:val="000000"/>
          <w:rFonts w:ascii="仿宋_GB2312" w:hAnsi="仿宋_GB2312"/>
          <w:sz w:val="32"/>
          <w:szCs w:val="32"/>
          <w:shd w:fill="FFFFFF"/>
        </w:rPr>
        <w:t>年预算增加</w:t>
      </w:r>
      <w:r>
        <w:rPr>
          <w:color w:val="000000"/>
          <w:rFonts w:ascii="仿宋_GB2312" w:hAnsi="仿宋_GB2312"/>
          <w:sz w:val="32"/>
          <w:szCs w:val="32"/>
          <w:shd w:fill="FFFFFF"/>
        </w:rPr>
        <w:t>4.16</w:t>
      </w:r>
      <w:r>
        <w:rPr>
          <w:color w:val="000000"/>
          <w:rFonts w:ascii="仿宋_GB2312" w:hAnsi="仿宋_GB2312"/>
          <w:sz w:val="32"/>
          <w:szCs w:val="32"/>
          <w:shd w:fill="FFFFFF"/>
        </w:rPr>
        <w:t>万元，增长</w:t>
      </w:r>
      <w:r>
        <w:rPr>
          <w:color w:val="000000"/>
          <w:rFonts w:ascii="仿宋_GB2312" w:hAnsi="仿宋_GB2312"/>
          <w:sz w:val="32"/>
          <w:szCs w:val="32"/>
          <w:shd w:fill="FFFFFF"/>
        </w:rPr>
        <w:t>12.20</w:t>
      </w:r>
      <w:r>
        <w:rPr>
          <w:color w:val="000000"/>
          <w:rFonts w:ascii="仿宋_GB2312" w:hAnsi="仿宋_GB2312"/>
          <w:sz w:val="32"/>
          <w:szCs w:val="32"/>
          <w:shd w:fill="FFFFFF"/>
        </w:rPr>
        <w:t>%，</w:t>
      </w:r>
      <w:r>
        <w:rPr>
          <w:color w:val="000000"/>
          <w:rFonts w:ascii="仿宋_GB2312" w:hAnsi="仿宋_GB2312"/>
          <w:sz w:val="32"/>
          <w:szCs w:val="32"/>
          <w:shd w:fill="FFFFFF"/>
        </w:rPr>
        <w:t>增长</w:t>
      </w:r>
      <w:r>
        <w:rPr>
          <w:color w:val="000000"/>
          <w:rFonts w:ascii="仿宋_GB2312" w:hAnsi="仿宋_GB2312"/>
          <w:sz w:val="32"/>
          <w:szCs w:val="32"/>
          <w:shd w:fill="FFFFFF"/>
        </w:rPr>
        <w:t>原因主要</w:t>
      </w:r>
      <w:r>
        <w:rPr>
          <w:color w:val="000000"/>
          <w:rFonts w:ascii="仿宋_GB2312" w:hAnsi="仿宋_GB2312"/>
          <w:sz w:val="32"/>
          <w:szCs w:val="32"/>
          <w:shd w:fill="FFFFFF"/>
        </w:rPr>
        <w:t>是</w:t>
      </w:r>
      <w:r>
        <w:rPr>
          <w:color w:val="000000"/>
          <w:rFonts w:ascii="仿宋_GB2312" w:hAnsi="仿宋_GB2312"/>
          <w:sz w:val="32"/>
          <w:szCs w:val="32"/>
          <w:shd w:fill="FFFFFF"/>
        </w:rPr>
        <w:t>单位新增人员，人员工资的增长，住房公积金缴纳基数也相应上调，这就使得住房保障支出随之增加。</w:t>
      </w:r>
    </w:p>
    <w:p>
      <w:pPr>
        <w:pStyle w:val=""/>
        <w:ind w:right="0"/>
        <w:ind w:firstLine="640"/>
        <w:pageBreakBefore w:val="0"/>
        <w:spacing w:before="0" w:after="0" w:line="560" w:lineRule="exact"/>
        <w:rPr>
          <w:color w:val="000000"/>
          <w:rFonts w:ascii="TimesNewRoman" w:hAnsi="TimesNewRoman"/>
          <w:sz w:val="32"/>
          <w:szCs w:val="32"/>
        </w:rPr>
      </w:pPr>
      <w:r>
        <w:rPr>
          <w:color w:val="000000"/>
          <w:rFonts w:ascii="TimesNewRoman" w:hAnsi="TimesNewRoman"/>
          <w:sz w:val="32"/>
          <w:szCs w:val="32"/>
        </w:rPr>
        <w:t>六、</w:t>
      </w:r>
      <w:r>
        <w:rPr>
          <w:color w:val="000000"/>
          <w:rFonts w:ascii="TimesNewRoman" w:hAnsi="TimesNewRoman"/>
          <w:sz w:val="32"/>
          <w:szCs w:val="32"/>
        </w:rPr>
        <w:t>关于202</w:t>
      </w:r>
      <w:r>
        <w:rPr>
          <w:color w:val="000000"/>
          <w:rFonts w:ascii="TimesNewRoman" w:hAnsi="TimesNewRoman"/>
          <w:sz w:val="32"/>
          <w:szCs w:val="32"/>
        </w:rPr>
        <w:t>3</w:t>
      </w:r>
      <w:r>
        <w:rPr>
          <w:color w:val="000000"/>
          <w:rFonts w:ascii="TimesNewRoman" w:hAnsi="TimesNewRoman"/>
          <w:sz w:val="32"/>
          <w:szCs w:val="32"/>
        </w:rPr>
        <w:t>年一般公共预算基本支出表的说明</w:t>
      </w:r>
    </w:p>
    <w:p>
      <w:pPr>
        <w:pStyle w:val=""/>
        <w:ind w:firstLine="640"/>
        <w:pageBreakBefore w:val="0"/>
        <w:spacing w:line="560" w:lineRule="exact"/>
        <w:rPr>
          <w:color w:val="000000"/>
          <w:rFonts w:ascii="仿宋_GB2312" w:hAnsi="仿宋_GB2312"/>
          <w:sz w:val="32"/>
          <w:szCs w:val="32"/>
        </w:rPr>
      </w:pPr>
      <w:r>
        <w:rPr>
          <w:color w:val="000000"/>
          <w:rFonts w:ascii="仿宋_GB2312" w:hAnsi="仿宋_GB2312"/>
          <w:sz w:val="32"/>
          <w:szCs w:val="32"/>
        </w:rPr>
        <w:t>202</w:t>
      </w:r>
      <w:r>
        <w:rPr>
          <w:color w:val="000000"/>
          <w:rFonts w:ascii="仿宋_GB2312" w:hAnsi="仿宋_GB2312"/>
          <w:sz w:val="32"/>
          <w:szCs w:val="32"/>
        </w:rPr>
        <w:t>3</w:t>
      </w:r>
      <w:r>
        <w:rPr>
          <w:color w:val="000000"/>
          <w:rFonts w:ascii="仿宋_GB2312" w:hAnsi="仿宋_GB2312"/>
          <w:sz w:val="32"/>
          <w:szCs w:val="32"/>
        </w:rPr>
        <w:t>年一般公共预算基本支出</w:t>
      </w:r>
      <w:r>
        <w:rPr>
          <w:color w:val="000000"/>
          <w:rFonts w:ascii="仿宋_GB2312" w:hAnsi="仿宋_GB2312"/>
          <w:sz w:val="32"/>
          <w:szCs w:val="32"/>
        </w:rPr>
        <w:t>316.92</w:t>
      </w:r>
      <w:r>
        <w:rPr>
          <w:color w:val="000000"/>
          <w:rFonts w:ascii="仿宋_GB2312" w:hAnsi="仿宋_GB2312"/>
          <w:sz w:val="32"/>
          <w:szCs w:val="32"/>
        </w:rPr>
        <w:t>万元，其中，人员经费</w:t>
      </w:r>
      <w:r>
        <w:rPr>
          <w:color w:val="000000"/>
          <w:rFonts w:ascii="仿宋_GB2312" w:hAnsi="仿宋_GB2312"/>
          <w:sz w:val="32"/>
          <w:szCs w:val="32"/>
        </w:rPr>
        <w:t>297.7</w:t>
      </w:r>
      <w:r>
        <w:rPr>
          <w:color w:val="000000"/>
          <w:rFonts w:ascii="仿宋_GB2312" w:hAnsi="仿宋_GB2312"/>
          <w:sz w:val="32"/>
          <w:szCs w:val="32"/>
        </w:rPr>
        <w:t>万元，公用经费</w:t>
      </w:r>
      <w:r>
        <w:rPr>
          <w:color w:val="000000"/>
          <w:rFonts w:ascii="仿宋_GB2312" w:hAnsi="仿宋_GB2312"/>
          <w:sz w:val="32"/>
          <w:szCs w:val="32"/>
        </w:rPr>
        <w:t>19.02</w:t>
      </w:r>
      <w:r>
        <w:rPr>
          <w:color w:val="000000"/>
          <w:rFonts w:ascii="仿宋_GB2312" w:hAnsi="仿宋_GB2312"/>
          <w:sz w:val="32"/>
          <w:szCs w:val="32"/>
        </w:rPr>
        <w:t>万元。</w:t>
      </w:r>
    </w:p>
    <w:p>
      <w:pPr>
        <w:pStyle w:val=""/>
        <w:ind w:right="0"/>
        <w:ind w:firstLine="640"/>
        <w:pageBreakBefore w:val="0"/>
        <w:spacing w:before="0" w:after="0" w:line="560" w:lineRule="exact"/>
        <w:rPr>
          <w:color w:val="000000"/>
          <w:rFonts w:ascii="仿宋_GB2312" w:hAnsi="仿宋_GB2312"/>
          <w:sz w:val="32"/>
          <w:szCs w:val="32"/>
        </w:rPr>
      </w:pPr>
      <w:r>
        <w:rPr>
          <w:color w:val="000000"/>
          <w:rFonts w:ascii="仿宋_GB2312" w:hAnsi="仿宋_GB2312"/>
          <w:sz w:val="32"/>
          <w:szCs w:val="32"/>
          <w:shd w:fill="FFFFFF"/>
        </w:rPr>
        <w:t>(一）人员经费297.7万元，</w:t>
      </w:r>
      <w:r>
        <w:rPr>
          <w:color w:val="000000"/>
          <w:rFonts w:ascii="仿宋_GB2312" w:hAnsi="仿宋_GB2312"/>
          <w:sz w:val="32"/>
          <w:szCs w:val="32"/>
          <w:shd w:fill="FFFFFF"/>
        </w:rPr>
        <w:t>主要包括：基本工资、津贴补贴、绩效工资、奖金、机关事业单位基本养老保险缴费、职业年金缴费、职工基本医疗保险缴费、公务员医疗补助、其他社会保障缴费、住房公积金、其他工资福利支出等。</w:t>
      </w:r>
    </w:p>
    <w:p>
      <w:pPr>
        <w:pStyle w:val=""/>
        <w:ind w:firstLine="640"/>
        <w:pageBreakBefore w:val="0"/>
        <w:spacing w:before="0" w:after="0" w:line="560" w:lineRule="exact"/>
        <w:rPr>
          <w:color w:val="000000"/>
          <w:rFonts w:ascii="仿宋_GB2312" w:hAnsi="仿宋_GB2312"/>
          <w:sz w:val="32"/>
          <w:szCs w:val="32"/>
          <w:shd w:fill="FFFFFF"/>
        </w:rPr>
      </w:pPr>
      <w:r>
        <w:rPr>
          <w:color w:val="000000"/>
          <w:rFonts w:ascii="仿宋_GB2312" w:hAnsi="仿宋_GB2312"/>
          <w:sz w:val="32"/>
          <w:szCs w:val="32"/>
          <w:shd w:fill="FFFFFF"/>
        </w:rPr>
        <w:t>（二）公用经费</w:t>
      </w:r>
      <w:r>
        <w:rPr>
          <w:color w:val="000000"/>
          <w:rFonts w:ascii="仿宋_GB2312" w:hAnsi="仿宋_GB2312"/>
          <w:sz w:val="32"/>
          <w:szCs w:val="32"/>
          <w:shd w:fill="FFFFFF"/>
        </w:rPr>
        <w:t>19.02万元。主要包括：邮电费、其他</w:t>
      </w:r>
      <w:r>
        <w:rPr>
          <w:color w:val="000000"/>
          <w:rFonts w:ascii="仿宋_GB2312" w:hAnsi="仿宋_GB2312"/>
          <w:sz w:val="32"/>
          <w:szCs w:val="32"/>
          <w:shd w:fill="FFFFFF"/>
        </w:rPr>
        <w:t>商品和服务支出</w:t>
      </w:r>
      <w:r>
        <w:rPr>
          <w:color w:val="000000"/>
          <w:rFonts w:ascii="仿宋_GB2312" w:hAnsi="仿宋_GB2312"/>
          <w:sz w:val="32"/>
          <w:szCs w:val="32"/>
          <w:shd w:fill="FFFFFF"/>
        </w:rPr>
        <w:t>、</w:t>
      </w:r>
      <w:r>
        <w:rPr>
          <w:color w:val="000000"/>
          <w:rFonts w:ascii="仿宋_GB2312" w:hAnsi="仿宋_GB2312"/>
          <w:sz w:val="32"/>
          <w:szCs w:val="32"/>
          <w:shd w:fill="FFFFFF"/>
        </w:rPr>
        <w:t>对个人和家庭的补助</w:t>
      </w:r>
      <w:r>
        <w:rPr>
          <w:color w:val="000000"/>
          <w:rFonts w:ascii="仿宋_GB2312" w:hAnsi="仿宋_GB2312"/>
          <w:sz w:val="32"/>
          <w:szCs w:val="32"/>
          <w:shd w:fill="FFFFFF"/>
        </w:rPr>
        <w:t>等。</w:t>
      </w:r>
    </w:p>
    <w:p>
      <w:pPr>
        <w:pStyle w:val=""/>
        <w:ind w:firstLine="640"/>
        <w:spacing w:before="0" w:after="0" w:line="600" w:lineRule="exact"/>
        <w:rPr>
          <w:color w:val="000000"/>
          <w:rFonts w:ascii="宋体" w:hAnsi="宋体"/>
        </w:rPr>
      </w:pPr>
      <w:r>
        <w:rPr>
          <w:color w:val="000000"/>
          <w:rFonts w:ascii="黑体" w:hAnsi="宋体"/>
          <w:sz w:val="32"/>
          <w:szCs w:val="32"/>
          <w:shd w:fill="FFFFFF"/>
        </w:rPr>
        <w:t>七</w:t>
      </w:r>
      <w:r>
        <w:rPr>
          <w:color w:val="000000"/>
          <w:rFonts w:ascii="黑体" w:hAnsi="宋体"/>
          <w:sz w:val="32"/>
          <w:szCs w:val="32"/>
          <w:shd w:fill="FFFFFF"/>
        </w:rPr>
        <w:t>、关于</w:t>
      </w:r>
      <w:r>
        <w:rPr>
          <w:color w:val="000000"/>
          <w:rFonts w:ascii="黑体" w:hAnsi="宋体"/>
          <w:sz w:val="32"/>
          <w:szCs w:val="32"/>
          <w:shd w:fill="FFFFFF"/>
        </w:rPr>
        <w:t>2023</w:t>
      </w:r>
      <w:r>
        <w:rPr>
          <w:color w:val="000000"/>
          <w:rFonts w:ascii="黑体" w:hAnsi="宋体"/>
          <w:sz w:val="32"/>
          <w:szCs w:val="32"/>
          <w:shd w:fill="FFFFFF"/>
        </w:rPr>
        <w:t>年政府性基金预算</w:t>
      </w:r>
      <w:r>
        <w:rPr>
          <w:color w:val="000000"/>
          <w:rFonts w:ascii="黑体" w:hAnsi="宋体"/>
          <w:sz w:val="32"/>
          <w:szCs w:val="32"/>
          <w:shd w:fill="FFFFFF"/>
        </w:rPr>
        <w:t>支出表</w:t>
      </w:r>
      <w:r>
        <w:rPr>
          <w:color w:val="000000"/>
          <w:rFonts w:ascii="黑体" w:hAnsi="宋体"/>
          <w:sz w:val="32"/>
          <w:szCs w:val="32"/>
          <w:shd w:fill="FFFFFF"/>
        </w:rPr>
        <w:t>说明</w:t>
      </w:r>
    </w:p>
    <w:p>
      <w:pPr>
        <w:pStyle w:val=""/>
        <w:ind w:firstLine="640"/>
        <w:spacing w:before="0" w:after="0" w:line="600" w:lineRule="exact"/>
        <w:rPr>
          <w:color w:val="000000"/>
          <w:rFonts w:ascii="宋体" w:hAnsi="宋体"/>
        </w:rPr>
      </w:pPr>
      <w:r>
        <w:rPr>
          <w:color w:val="000000"/>
          <w:rFonts w:ascii="仿宋_GB2312" w:hAnsi="仿宋"/>
          <w:sz w:val="32"/>
          <w:szCs w:val="32"/>
          <w:shd w:fill="FFFFFF"/>
        </w:rPr>
        <w:t>烈山区财政局</w:t>
      </w:r>
      <w:r>
        <w:rPr>
          <w:color w:val="000000"/>
          <w:rFonts w:ascii="仿宋_GB2312" w:hAnsi="仿宋"/>
          <w:sz w:val="32"/>
          <w:szCs w:val="32"/>
          <w:shd w:fill="FFFFFF"/>
        </w:rPr>
        <w:t>（本级）</w:t>
      </w:r>
      <w:r>
        <w:rPr>
          <w:color w:val="000000"/>
          <w:rFonts w:ascii="仿宋" w:hAnsi="仿宋"/>
          <w:sz w:val="32"/>
          <w:szCs w:val="32"/>
          <w:shd w:fill="FFFFFF"/>
        </w:rPr>
        <w:t>2023</w:t>
      </w:r>
      <w:r>
        <w:rPr>
          <w:color w:val="000000"/>
          <w:rFonts w:ascii="仿宋" w:hAnsi="仿宋"/>
          <w:sz w:val="32"/>
          <w:szCs w:val="32"/>
          <w:shd w:fill="FFFFFF"/>
        </w:rPr>
        <w:t>年没有政府性基金预算拨款收入，也没有使用政府性基金预算拨款安排的支出。</w:t>
      </w:r>
    </w:p>
    <w:p>
      <w:pPr>
        <w:pStyle w:val=""/>
        <w:ind w:firstLine="640"/>
        <w:spacing w:before="0" w:after="0" w:line="600" w:lineRule="exact"/>
        <w:rPr>
          <w:color w:val="000000"/>
          <w:rFonts w:ascii="宋体" w:hAnsi="宋体"/>
        </w:rPr>
      </w:pPr>
      <w:r>
        <w:rPr>
          <w:color w:val="000000"/>
          <w:rFonts w:ascii="黑体" w:hAnsi="宋体"/>
          <w:sz w:val="32"/>
          <w:szCs w:val="32"/>
          <w:shd w:fill="FFFFFF"/>
        </w:rPr>
        <w:t>八</w:t>
      </w:r>
      <w:r>
        <w:rPr>
          <w:color w:val="000000"/>
          <w:rFonts w:ascii="黑体" w:hAnsi="宋体"/>
          <w:sz w:val="32"/>
          <w:szCs w:val="32"/>
          <w:shd w:fill="FFFFFF"/>
        </w:rPr>
        <w:t>、关于</w:t>
      </w:r>
      <w:r>
        <w:rPr>
          <w:color w:val="000000"/>
          <w:rFonts w:ascii="黑体" w:hAnsi="宋体"/>
          <w:sz w:val="32"/>
          <w:szCs w:val="32"/>
          <w:shd w:fill="FFFFFF"/>
        </w:rPr>
        <w:t>2023</w:t>
      </w:r>
      <w:r>
        <w:rPr>
          <w:color w:val="000000"/>
          <w:rFonts w:ascii="黑体" w:hAnsi="宋体"/>
          <w:sz w:val="32"/>
          <w:szCs w:val="32"/>
          <w:shd w:fill="FFFFFF"/>
        </w:rPr>
        <w:t>年国有资本经营预算</w:t>
      </w:r>
      <w:r>
        <w:rPr>
          <w:color w:val="000000"/>
          <w:rFonts w:ascii="黑体" w:hAnsi="宋体"/>
          <w:sz w:val="32"/>
          <w:szCs w:val="32"/>
          <w:shd w:fill="FFFFFF"/>
        </w:rPr>
        <w:t>支出表</w:t>
      </w:r>
      <w:r>
        <w:rPr>
          <w:color w:val="000000"/>
          <w:rFonts w:ascii="黑体" w:hAnsi="宋体"/>
          <w:sz w:val="32"/>
          <w:szCs w:val="32"/>
          <w:shd w:fill="FFFFFF"/>
        </w:rPr>
        <w:t>说明</w:t>
      </w:r>
    </w:p>
    <w:p>
      <w:pPr>
        <w:pStyle w:val=""/>
        <w:ind w:firstLine="640"/>
        <w:spacing w:before="0" w:after="0" w:line="600" w:lineRule="exact"/>
        <w:rPr>
          <w:color w:val="000000"/>
          <w:rFonts w:ascii="仿宋_GB2312" w:hAnsi="仿宋"/>
          <w:sz w:val="32"/>
          <w:szCs w:val="32"/>
          <w:shd w:fill="FFFFFF"/>
        </w:rPr>
      </w:pPr>
      <w:r>
        <w:rPr>
          <w:color w:val="000000"/>
          <w:rFonts w:ascii="仿宋_GB2312" w:hAnsi="仿宋"/>
          <w:sz w:val="32"/>
          <w:szCs w:val="32"/>
          <w:shd w:fill="FFFFFF"/>
        </w:rPr>
        <w:t>烈山区财政局</w:t>
      </w:r>
      <w:r>
        <w:rPr>
          <w:color w:val="000000"/>
          <w:rFonts w:ascii="仿宋_GB2312" w:hAnsi="仿宋"/>
          <w:sz w:val="32"/>
          <w:szCs w:val="32"/>
          <w:shd w:fill="FFFFFF"/>
        </w:rPr>
        <w:t>（本级）</w:t>
      </w:r>
      <w:r>
        <w:rPr>
          <w:color w:val="000000"/>
          <w:rFonts w:ascii="仿宋" w:hAnsi="仿宋"/>
          <w:sz w:val="32"/>
          <w:szCs w:val="32"/>
          <w:shd w:fill="FFFFFF"/>
        </w:rPr>
        <w:t>2023</w:t>
      </w:r>
      <w:r>
        <w:rPr>
          <w:color w:val="000000"/>
          <w:rFonts w:ascii="仿宋" w:hAnsi="仿宋"/>
          <w:sz w:val="32"/>
          <w:szCs w:val="32"/>
          <w:shd w:fill="FFFFFF"/>
        </w:rPr>
        <w:t>年没有国有资本经营预算拨款收入，也没有使用国有资本经营预算拨款安排的支出。</w:t>
      </w:r>
    </w:p>
    <w:p>
      <w:pPr>
        <w:pStyle w:val=""/>
        <w:numPr>
          <w:ilvl w:val="0"/>
          <w:numId w:val="3522424697"/>
        </w:numPr>
        <w:jc w:val="both"/>
        <w:ind w:firstLine="640"/>
        <w:spacing w:line="600" w:lineRule="exact"/>
        <w:rPr>
          <w:color w:val="000000"/>
          <w:rFonts w:ascii="黑体" w:hAnsi="宋体"/>
          <w:sz w:val="32"/>
          <w:szCs w:val="32"/>
          <w:shd w:fill="FFFFFF"/>
        </w:rPr>
      </w:pPr>
      <w:r>
        <w:rPr>
          <w:color w:val="000000"/>
          <w:rFonts w:ascii="黑体" w:hAnsi="宋体"/>
          <w:sz w:val="32"/>
          <w:szCs w:val="32"/>
          <w:shd w:fill="FFFFFF"/>
        </w:rPr>
        <w:t>关于</w:t>
      </w:r>
      <w:r>
        <w:rPr>
          <w:color w:val="000000"/>
          <w:rFonts w:ascii="黑体" w:hAnsi="宋体"/>
          <w:sz w:val="32"/>
          <w:szCs w:val="32"/>
          <w:shd w:fill="FFFFFF"/>
        </w:rPr>
        <w:t>2023年项目支出的说明</w:t>
      </w:r>
    </w:p>
    <w:p>
      <w:pPr>
        <w:pStyle w:val=""/>
        <w:jc w:val="both"/>
        <w:ind w:right="0"/>
        <w:ind w:firstLine="640"/>
        <w:spacing w:before="100" w:after="100" w:line="600" w:lineRule="exact"/>
        <w:rPr>
          <w:color w:val="000000"/>
          <w:rFonts w:ascii="仿宋_GB2312" w:hAnsi="仿宋_GB2312"/>
          <w:sz w:val="32"/>
          <w:szCs w:val="32"/>
          <w:shd w:fill="FFFFFF"/>
        </w:rPr>
      </w:pPr>
      <w:r>
        <w:rPr>
          <w:color w:val="000000"/>
          <w:rFonts w:ascii="仿宋_GB2312" w:hAnsi="仿宋_GB2312"/>
          <w:sz w:val="32"/>
          <w:szCs w:val="32"/>
        </w:rPr>
        <w:t>烈山区财政局</w:t>
      </w:r>
      <w:r>
        <w:rPr>
          <w:color w:val="000000"/>
          <w:rFonts w:ascii="仿宋_GB2312" w:hAnsi="仿宋"/>
          <w:sz w:val="32"/>
          <w:szCs w:val="32"/>
          <w:shd w:fill="FFFFFF"/>
        </w:rPr>
        <w:t>（本级）</w:t>
      </w:r>
      <w:r>
        <w:rPr>
          <w:color w:val="000000"/>
          <w:rFonts w:ascii="仿宋_GB2312" w:hAnsi="仿宋_GB2312"/>
          <w:sz w:val="32"/>
          <w:szCs w:val="32"/>
        </w:rPr>
        <w:t>202</w:t>
      </w:r>
      <w:r>
        <w:rPr>
          <w:color w:val="000000"/>
          <w:rFonts w:ascii="仿宋_GB2312" w:hAnsi="仿宋_GB2312"/>
          <w:sz w:val="32"/>
          <w:szCs w:val="32"/>
        </w:rPr>
        <w:t>3</w:t>
      </w:r>
      <w:r>
        <w:rPr>
          <w:color w:val="000000"/>
          <w:rFonts w:ascii="仿宋_GB2312" w:hAnsi="仿宋_GB2312"/>
          <w:sz w:val="32"/>
          <w:szCs w:val="32"/>
        </w:rPr>
        <w:t>年预算共安排项目支出</w:t>
      </w:r>
      <w:r>
        <w:rPr>
          <w:color w:val="000000"/>
          <w:rFonts w:ascii="仿宋_GB2312" w:hAnsi="仿宋_GB2312"/>
          <w:sz w:val="32"/>
          <w:szCs w:val="32"/>
        </w:rPr>
        <w:t>472</w:t>
      </w:r>
      <w:r>
        <w:rPr>
          <w:color w:val="000000"/>
          <w:rFonts w:ascii="仿宋_GB2312" w:hAnsi="仿宋_GB2312"/>
          <w:sz w:val="32"/>
          <w:szCs w:val="32"/>
        </w:rPr>
        <w:t>万元，比202</w:t>
      </w:r>
      <w:r>
        <w:rPr>
          <w:color w:val="000000"/>
          <w:rFonts w:ascii="仿宋_GB2312" w:hAnsi="仿宋_GB2312"/>
          <w:sz w:val="32"/>
          <w:szCs w:val="32"/>
        </w:rPr>
        <w:t>2</w:t>
      </w:r>
      <w:r>
        <w:rPr>
          <w:color w:val="000000"/>
          <w:rFonts w:ascii="仿宋_GB2312" w:hAnsi="仿宋_GB2312"/>
          <w:sz w:val="32"/>
          <w:szCs w:val="32"/>
        </w:rPr>
        <w:t>年预算</w:t>
      </w:r>
      <w:r>
        <w:rPr>
          <w:color w:val="000000"/>
          <w:rFonts w:ascii="仿宋_GB2312" w:hAnsi="仿宋_GB2312"/>
          <w:sz w:val="32"/>
          <w:szCs w:val="32"/>
        </w:rPr>
        <w:t>减少</w:t>
      </w:r>
      <w:r>
        <w:rPr>
          <w:color w:val="000000"/>
          <w:rFonts w:ascii="仿宋_GB2312" w:hAnsi="仿宋_GB2312"/>
          <w:sz w:val="32"/>
          <w:szCs w:val="32"/>
        </w:rPr>
        <w:t>12.3</w:t>
      </w:r>
      <w:r>
        <w:rPr>
          <w:color w:val="000000"/>
          <w:rFonts w:ascii="仿宋_GB2312" w:hAnsi="仿宋_GB2312"/>
          <w:sz w:val="32"/>
          <w:szCs w:val="32"/>
        </w:rPr>
        <w:t>万元，下降</w:t>
      </w:r>
      <w:r>
        <w:rPr>
          <w:color w:val="000000"/>
          <w:rFonts w:ascii="仿宋_GB2312" w:hAnsi="仿宋_GB2312"/>
          <w:sz w:val="32"/>
          <w:szCs w:val="32"/>
        </w:rPr>
        <w:t>2.54%</w:t>
      </w:r>
      <w:r>
        <w:rPr>
          <w:color w:val="000000"/>
          <w:rFonts w:ascii="仿宋_GB2312" w:hAnsi="仿宋_GB2312"/>
          <w:sz w:val="32"/>
          <w:szCs w:val="32"/>
        </w:rPr>
        <w:t>，下降原因主要是</w:t>
      </w:r>
      <w:r>
        <w:rPr>
          <w:color w:val="000000"/>
          <w:rFonts w:ascii="仿宋_GB2312" w:hAnsi="仿宋_GB2312"/>
          <w:sz w:val="32"/>
          <w:szCs w:val="32"/>
        </w:rPr>
        <w:t>部分项目调减</w:t>
      </w:r>
      <w:r>
        <w:rPr>
          <w:color w:val="000000"/>
          <w:rFonts w:ascii="仿宋_GB2312" w:hAnsi="仿宋_GB2312"/>
          <w:sz w:val="32"/>
          <w:szCs w:val="32"/>
        </w:rPr>
        <w:t>。主要包括：本年财政拨款安排</w:t>
      </w:r>
      <w:r>
        <w:rPr>
          <w:color w:val="000000"/>
          <w:rFonts w:ascii="仿宋_GB2312" w:hAnsi="仿宋_GB2312"/>
          <w:sz w:val="32"/>
          <w:szCs w:val="32"/>
        </w:rPr>
        <w:t xml:space="preserve"> 472</w:t>
      </w:r>
      <w:r>
        <w:rPr>
          <w:color w:val="000000"/>
          <w:rFonts w:ascii="仿宋_GB2312" w:hAnsi="仿宋_GB2312"/>
          <w:sz w:val="32"/>
          <w:szCs w:val="32"/>
        </w:rPr>
        <w:t>万元（其中，一般公共预算拨款安排</w:t>
      </w:r>
      <w:r>
        <w:rPr>
          <w:color w:val="000000"/>
          <w:rFonts w:ascii="仿宋_GB2312" w:hAnsi="仿宋_GB2312"/>
          <w:sz w:val="32"/>
          <w:szCs w:val="32"/>
        </w:rPr>
        <w:t>472</w:t>
      </w:r>
      <w:r>
        <w:rPr>
          <w:color w:val="000000"/>
          <w:rFonts w:ascii="仿宋_GB2312" w:hAnsi="仿宋_GB2312"/>
          <w:sz w:val="32"/>
          <w:szCs w:val="32"/>
        </w:rPr>
        <w:t>万元</w:t>
      </w:r>
      <w:r>
        <w:rPr>
          <w:color w:val="000000"/>
          <w:rFonts w:ascii="仿宋_GB2312" w:hAnsi="仿宋_GB2312"/>
          <w:sz w:val="32"/>
          <w:szCs w:val="32"/>
        </w:rPr>
        <w:t>）。</w:t>
      </w:r>
    </w:p>
    <w:p>
      <w:pPr>
        <w:pStyle w:val=""/>
        <w:ind w:firstLine="640"/>
        <w:pageBreakBefore w:val="0"/>
        <w:spacing w:line="560" w:lineRule="exact"/>
        <w:rPr>
          <w:color w:val="000000"/>
          <w:rFonts w:ascii="黑体" w:hAnsi="黑体"/>
          <w:sz w:val="32"/>
          <w:szCs w:val="32"/>
        </w:rPr>
      </w:pPr>
      <w:r>
        <w:rPr>
          <w:color w:val="000000"/>
          <w:rFonts w:ascii="黑体" w:hAnsi="黑体"/>
          <w:sz w:val="32"/>
          <w:szCs w:val="32"/>
        </w:rPr>
        <w:t>十、关于202</w:t>
      </w:r>
      <w:r>
        <w:rPr>
          <w:color w:val="000000"/>
          <w:rFonts w:ascii="黑体" w:hAnsi="黑体"/>
          <w:sz w:val="32"/>
          <w:szCs w:val="32"/>
        </w:rPr>
        <w:t>3</w:t>
      </w:r>
      <w:r>
        <w:rPr>
          <w:color w:val="000000"/>
          <w:rFonts w:ascii="黑体" w:hAnsi="黑体"/>
          <w:sz w:val="32"/>
          <w:szCs w:val="32"/>
        </w:rPr>
        <w:t>年政府采购支出表的说明</w:t>
      </w:r>
    </w:p>
    <w:p>
      <w:pPr>
        <w:pStyle w:val=""/>
        <w:ind w:firstLine="640"/>
        <w:pageBreakBefore w:val="0"/>
        <w:spacing w:line="560" w:lineRule="exact"/>
        <w:rPr>
          <w:color w:val="000000"/>
          <w:rFonts w:ascii="仿宋_GB2312" w:hAnsi="仿宋_GB2312"/>
          <w:sz w:val="32"/>
          <w:szCs w:val="32"/>
        </w:rPr>
      </w:pPr>
      <w:r>
        <w:rPr>
          <w:color w:val="000000"/>
          <w:rFonts w:ascii="仿宋_GB2312" w:hAnsi="仿宋_GB2312"/>
          <w:sz w:val="32"/>
          <w:szCs w:val="32"/>
        </w:rPr>
        <w:t>烈山区财政局</w:t>
      </w:r>
      <w:r>
        <w:rPr>
          <w:color w:val="000000"/>
          <w:rFonts w:ascii="仿宋_GB2312" w:hAnsi="仿宋"/>
          <w:sz w:val="32"/>
          <w:szCs w:val="32"/>
          <w:shd w:fill="FFFFFF"/>
        </w:rPr>
        <w:t>（本级）</w:t>
      </w:r>
      <w:r>
        <w:rPr>
          <w:color w:val="000000"/>
          <w:rFonts w:ascii="仿宋_GB2312" w:hAnsi="仿宋_GB2312"/>
          <w:sz w:val="32"/>
          <w:szCs w:val="32"/>
        </w:rPr>
        <w:t>202</w:t>
      </w:r>
      <w:r>
        <w:rPr>
          <w:color w:val="000000"/>
          <w:rFonts w:ascii="仿宋_GB2312" w:hAnsi="仿宋_GB2312"/>
          <w:sz w:val="32"/>
          <w:szCs w:val="32"/>
        </w:rPr>
        <w:t>3</w:t>
      </w:r>
      <w:r>
        <w:rPr>
          <w:color w:val="000000"/>
          <w:rFonts w:ascii="仿宋_GB2312" w:hAnsi="仿宋_GB2312"/>
          <w:sz w:val="32"/>
          <w:szCs w:val="32"/>
        </w:rPr>
        <w:t>年预算安排政府采购支出</w:t>
      </w:r>
      <w:r>
        <w:rPr>
          <w:color w:val="000000"/>
          <w:rFonts w:ascii="仿宋_GB2312" w:hAnsi="仿宋_GB2312"/>
          <w:sz w:val="32"/>
          <w:szCs w:val="32"/>
        </w:rPr>
        <w:t>5.56</w:t>
      </w:r>
      <w:r>
        <w:rPr>
          <w:color w:val="000000"/>
          <w:rFonts w:ascii="仿宋_GB2312" w:hAnsi="仿宋_GB2312"/>
          <w:sz w:val="32"/>
          <w:szCs w:val="32"/>
        </w:rPr>
        <w:t>万元，比202</w:t>
      </w:r>
      <w:r>
        <w:rPr>
          <w:color w:val="000000"/>
          <w:rFonts w:ascii="仿宋_GB2312" w:hAnsi="仿宋_GB2312"/>
          <w:sz w:val="32"/>
          <w:szCs w:val="32"/>
        </w:rPr>
        <w:t>2</w:t>
      </w:r>
      <w:r>
        <w:rPr>
          <w:color w:val="000000"/>
          <w:rFonts w:ascii="仿宋_GB2312" w:hAnsi="仿宋_GB2312"/>
          <w:sz w:val="32"/>
          <w:szCs w:val="32"/>
        </w:rPr>
        <w:t>年预算增加</w:t>
      </w:r>
      <w:r>
        <w:rPr>
          <w:color w:val="000000"/>
          <w:rFonts w:ascii="仿宋_GB2312" w:hAnsi="仿宋_GB2312"/>
          <w:sz w:val="32"/>
          <w:szCs w:val="32"/>
        </w:rPr>
        <w:t>1.36</w:t>
      </w:r>
      <w:r>
        <w:rPr>
          <w:color w:val="000000"/>
          <w:rFonts w:ascii="仿宋_GB2312" w:hAnsi="仿宋_GB2312"/>
          <w:sz w:val="32"/>
          <w:szCs w:val="32"/>
        </w:rPr>
        <w:t>万元，增长</w:t>
      </w:r>
      <w:r>
        <w:rPr>
          <w:color w:val="000000"/>
          <w:rFonts w:ascii="仿宋_GB2312" w:hAnsi="仿宋_GB2312"/>
          <w:sz w:val="32"/>
          <w:szCs w:val="32"/>
        </w:rPr>
        <w:t>32.38</w:t>
      </w:r>
      <w:r>
        <w:rPr>
          <w:color w:val="000000"/>
          <w:rFonts w:ascii="仿宋_GB2312" w:hAnsi="仿宋_GB2312"/>
          <w:sz w:val="32"/>
          <w:szCs w:val="32"/>
        </w:rPr>
        <w:t>%，增长原因主要是</w:t>
      </w:r>
      <w:r>
        <w:rPr>
          <w:color w:val="000000"/>
          <w:rFonts w:ascii="仿宋_GB2312" w:hAnsi="仿宋_GB2312"/>
          <w:sz w:val="32"/>
          <w:szCs w:val="32"/>
        </w:rPr>
        <w:t>部分资产报废更新</w:t>
      </w:r>
      <w:r>
        <w:rPr>
          <w:color w:val="000000"/>
          <w:rFonts w:ascii="仿宋_GB2312" w:hAnsi="仿宋_GB2312"/>
          <w:sz w:val="32"/>
          <w:szCs w:val="32"/>
        </w:rPr>
        <w:t>。其中，一般公共预算安排</w:t>
      </w:r>
      <w:r>
        <w:rPr>
          <w:color w:val="000000"/>
          <w:rFonts w:ascii="仿宋_GB2312" w:hAnsi="仿宋_GB2312"/>
          <w:sz w:val="32"/>
          <w:szCs w:val="32"/>
        </w:rPr>
        <w:t>5.56</w:t>
      </w:r>
      <w:r>
        <w:rPr>
          <w:color w:val="000000"/>
          <w:rFonts w:ascii="仿宋_GB2312" w:hAnsi="仿宋_GB2312"/>
          <w:sz w:val="32"/>
          <w:szCs w:val="32"/>
        </w:rPr>
        <w:t>万元，占</w:t>
      </w:r>
      <w:r>
        <w:rPr>
          <w:color w:val="000000"/>
          <w:rFonts w:ascii="仿宋_GB2312" w:hAnsi="仿宋_GB2312"/>
          <w:sz w:val="32"/>
          <w:szCs w:val="32"/>
        </w:rPr>
        <w:t>100</w:t>
      </w:r>
      <w:r>
        <w:rPr>
          <w:color w:val="000000"/>
          <w:rFonts w:ascii="仿宋_GB2312" w:hAnsi="仿宋_GB2312"/>
          <w:sz w:val="32"/>
          <w:szCs w:val="32"/>
        </w:rPr>
        <w:t>%</w:t>
      </w:r>
      <w:r>
        <w:rPr>
          <w:color w:val="000000"/>
          <w:rFonts w:ascii="仿宋_GB2312" w:hAnsi="仿宋_GB2312"/>
          <w:sz w:val="32"/>
          <w:szCs w:val="32"/>
        </w:rPr>
        <w:t>。</w:t>
      </w:r>
    </w:p>
    <w:p>
      <w:pPr>
        <w:pStyle w:val=""/>
        <w:ind w:firstLine="640"/>
        <w:pageBreakBefore w:val="0"/>
        <w:spacing w:line="560" w:lineRule="exact"/>
        <w:rPr>
          <w:color w:val="000000"/>
          <w:rFonts w:ascii="TimesNewRoman" w:hAnsi="TimesNewRoman"/>
          <w:sz w:val="32"/>
          <w:szCs w:val="32"/>
        </w:rPr>
      </w:pPr>
      <w:r>
        <w:rPr>
          <w:color w:val="000000"/>
          <w:rFonts w:ascii="TimesNewRoman" w:hAnsi="TimesNewRoman"/>
          <w:sz w:val="32"/>
          <w:szCs w:val="32"/>
        </w:rPr>
        <w:t>十一、关于202</w:t>
      </w:r>
      <w:r>
        <w:rPr>
          <w:color w:val="000000"/>
          <w:rFonts w:ascii="TimesNewRoman" w:hAnsi="TimesNewRoman"/>
          <w:sz w:val="32"/>
          <w:szCs w:val="32"/>
        </w:rPr>
        <w:t>3</w:t>
      </w:r>
      <w:r>
        <w:rPr>
          <w:color w:val="000000"/>
          <w:rFonts w:ascii="TimesNewRoman" w:hAnsi="TimesNewRoman"/>
          <w:sz w:val="32"/>
          <w:szCs w:val="32"/>
        </w:rPr>
        <w:t>年政府购买服务支出表的说明</w:t>
      </w:r>
    </w:p>
    <w:p>
      <w:pPr>
        <w:pStyle w:val=""/>
        <w:ind w:firstLine="640"/>
        <w:pageBreakBefore w:val="0"/>
        <w:spacing w:line="560" w:lineRule="exact"/>
        <w:rPr>
          <w:color w:val="000000"/>
          <w:rFonts w:ascii="TimesNewRoman" w:hAnsi="TimesNewRoman"/>
          <w:sz w:val="32"/>
          <w:szCs w:val="32"/>
        </w:rPr>
      </w:pPr>
      <w:r>
        <w:rPr>
          <w:color w:val="000000"/>
          <w:rFonts w:ascii="TimesNewRoman" w:hAnsi="TimesNewRoman"/>
          <w:sz w:val="32"/>
          <w:szCs w:val="32"/>
        </w:rPr>
        <w:t>烈山区财政局</w:t>
      </w:r>
      <w:r>
        <w:rPr>
          <w:color w:val="000000"/>
          <w:rFonts w:ascii="仿宋_GB2312" w:hAnsi="仿宋"/>
          <w:sz w:val="32"/>
          <w:szCs w:val="32"/>
          <w:shd w:fill="FFFFFF"/>
        </w:rPr>
        <w:t>（本级）</w:t>
      </w:r>
      <w:r>
        <w:rPr>
          <w:color w:val="000000"/>
          <w:rFonts w:ascii="TimesNewRoman" w:hAnsi="TimesNewRoman"/>
          <w:sz w:val="32"/>
          <w:szCs w:val="32"/>
        </w:rPr>
        <w:t>202</w:t>
      </w:r>
      <w:r>
        <w:rPr>
          <w:color w:val="000000"/>
          <w:rFonts w:ascii="TimesNewRoman" w:hAnsi="TimesNewRoman"/>
          <w:sz w:val="32"/>
          <w:szCs w:val="32"/>
        </w:rPr>
        <w:t>3</w:t>
      </w:r>
      <w:r>
        <w:rPr>
          <w:color w:val="000000"/>
          <w:rFonts w:ascii="TimesNewRoman" w:hAnsi="TimesNewRoman"/>
          <w:sz w:val="32"/>
          <w:szCs w:val="32"/>
        </w:rPr>
        <w:t>年政府购买服务支出</w:t>
      </w:r>
      <w:r>
        <w:rPr>
          <w:color w:val="000000"/>
          <w:rFonts w:ascii="TimesNewRoman" w:hAnsi="TimesNewRoman"/>
          <w:sz w:val="32"/>
          <w:szCs w:val="32"/>
        </w:rPr>
        <w:t>35万元，</w:t>
      </w:r>
      <w:r>
        <w:rPr>
          <w:color w:val="000000"/>
          <w:rFonts w:ascii="仿宋_GB2312" w:hAnsi="仿宋_GB2312"/>
          <w:sz w:val="32"/>
          <w:szCs w:val="32"/>
        </w:rPr>
        <w:t>比202</w:t>
      </w:r>
      <w:r>
        <w:rPr>
          <w:color w:val="000000"/>
          <w:rFonts w:ascii="仿宋_GB2312" w:hAnsi="仿宋_GB2312"/>
          <w:sz w:val="32"/>
          <w:szCs w:val="32"/>
        </w:rPr>
        <w:t>2</w:t>
      </w:r>
      <w:r>
        <w:rPr>
          <w:color w:val="000000"/>
          <w:rFonts w:ascii="仿宋_GB2312" w:hAnsi="仿宋_GB2312"/>
          <w:sz w:val="32"/>
          <w:szCs w:val="32"/>
        </w:rPr>
        <w:t>年预算增加</w:t>
      </w:r>
      <w:r>
        <w:rPr>
          <w:color w:val="000000"/>
          <w:rFonts w:ascii="仿宋_GB2312" w:hAnsi="仿宋_GB2312"/>
          <w:sz w:val="32"/>
          <w:szCs w:val="32"/>
        </w:rPr>
        <w:t>7</w:t>
      </w:r>
      <w:r>
        <w:rPr>
          <w:color w:val="000000"/>
          <w:rFonts w:ascii="仿宋_GB2312" w:hAnsi="仿宋_GB2312"/>
          <w:sz w:val="32"/>
          <w:szCs w:val="32"/>
        </w:rPr>
        <w:t>万元，增长</w:t>
      </w:r>
      <w:r>
        <w:rPr>
          <w:color w:val="000000"/>
          <w:rFonts w:ascii="仿宋_GB2312" w:hAnsi="仿宋_GB2312"/>
          <w:sz w:val="32"/>
          <w:szCs w:val="32"/>
        </w:rPr>
        <w:t>0.25</w:t>
      </w:r>
      <w:r>
        <w:rPr>
          <w:color w:val="000000"/>
          <w:rFonts w:ascii="仿宋_GB2312" w:hAnsi="仿宋_GB2312"/>
          <w:sz w:val="32"/>
          <w:szCs w:val="32"/>
        </w:rPr>
        <w:t>%，增长原因主要是</w:t>
      </w:r>
      <w:r>
        <w:rPr>
          <w:color w:val="000000"/>
          <w:rFonts w:ascii="仿宋_GB2312" w:hAnsi="仿宋_GB2312"/>
          <w:sz w:val="32"/>
          <w:szCs w:val="32"/>
        </w:rPr>
        <w:t>新增一人，工资和保险调增</w:t>
      </w:r>
      <w:r>
        <w:rPr>
          <w:color w:val="000000"/>
          <w:rFonts w:ascii="仿宋_GB2312" w:hAnsi="仿宋_GB2312"/>
          <w:sz w:val="32"/>
          <w:szCs w:val="32"/>
        </w:rPr>
        <w:t>。</w:t>
      </w:r>
    </w:p>
    <w:p>
      <w:pPr>
        <w:pStyle w:val=""/>
        <w:ind w:firstLine="640"/>
        <w:spacing w:line="580" w:lineRule="exact"/>
        <w:rPr>
          <w:color w:val="000000"/>
          <w:highlight w:val="black"/>
          <w:rFonts w:ascii="黑体" w:hAnsi="黑体"/>
          <w:sz w:val="32"/>
          <w:szCs w:val="32"/>
        </w:rPr>
      </w:pPr>
      <w:r>
        <w:rPr>
          <w:color w:val="000000"/>
          <w:highlight w:val="black"/>
          <w:rFonts w:ascii="黑体" w:hAnsi="黑体"/>
          <w:sz w:val="32"/>
          <w:szCs w:val="32"/>
        </w:rPr>
        <w:t>十二、其他重要事项情况说明</w:t>
      </w:r>
    </w:p>
    <w:p>
      <w:pPr>
        <w:pStyle w:val=""/>
        <w:jc w:val="both"/>
        <w:ind w:right="0"/>
        <w:ind w:firstLine="643"/>
        <w:spacing w:before="100" w:after="100" w:line="600" w:lineRule="exact"/>
        <w:rPr>
          <w:color w:val="000000"/>
          <w:rFonts w:ascii="黑体" w:hAnsi="宋体"/>
          <w:sz w:val="32"/>
          <w:szCs w:val="32"/>
          <w:shd w:fill="FFFFFF"/>
        </w:rPr>
      </w:pPr>
      <w:r>
        <w:rPr>
          <w:b/>
          <w:color w:val="000000"/>
          <w:rFonts w:ascii="TimesNewRoman" w:hAnsi="TimesNewRoman"/>
          <w:sz w:val="32"/>
          <w:szCs w:val="32"/>
        </w:rPr>
        <w:t>（一）项目及绩效目标情况。</w:t>
      </w:r>
    </w:p>
    <w:p>
      <w:pPr>
        <w:pStyle w:val=""/>
        <w:jc w:val="both"/>
        <w:ind w:firstLine="800"/>
        <w:spacing w:line="600" w:lineRule="exact"/>
        <w:rPr>
          <w:color w:val="000000"/>
          <w:rFonts w:ascii="Times New Roman" w:hAnsi="Times New Roman"/>
          <w:sz w:val="21"/>
          <w:szCs w:val="21"/>
        </w:rPr>
      </w:pPr>
      <w:r>
        <w:rPr>
          <w:b/>
          <w:color w:val="000000"/>
          <w:rFonts w:ascii="仿宋" w:hAnsi="仿宋"/>
          <w:sz w:val="32"/>
          <w:szCs w:val="32"/>
          <w:shd w:fill="FFFFFF"/>
        </w:rPr>
        <w:t>1.“</w:t>
      </w:r>
      <w:r>
        <w:rPr>
          <w:color w:val="000000"/>
          <w:rFonts w:ascii="仿宋" w:hAnsi="仿宋"/>
          <w:sz w:val="32"/>
          <w:szCs w:val="32"/>
          <w:shd w:fill="FFFFFF"/>
        </w:rPr>
        <w:t>农村公益事业财政奖补</w:t>
      </w:r>
      <w:r>
        <w:rPr>
          <w:b/>
          <w:color w:val="000000"/>
          <w:rFonts w:ascii="仿宋" w:hAnsi="仿宋"/>
          <w:sz w:val="32"/>
          <w:szCs w:val="32"/>
          <w:shd w:fill="FFFFFF"/>
        </w:rPr>
        <w:t>”项目。</w:t>
      </w:r>
    </w:p>
    <w:p>
      <w:pPr>
        <w:pStyle w:val=""/>
        <w:jc w:val="both"/>
        <w:ind w:firstLine="640"/>
        <w:spacing w:line="600" w:lineRule="exact"/>
        <w:rPr>
          <w:color w:val="000000"/>
          <w:rFonts w:ascii="Times New Roman" w:hAnsi="Times New Roman"/>
          <w:sz w:val="21"/>
          <w:szCs w:val="21"/>
        </w:rPr>
      </w:pPr>
      <w:r>
        <w:rPr>
          <w:color w:val="000000"/>
          <w:rFonts w:ascii="仿宋_GB2312" w:hAnsi="仿宋"/>
          <w:sz w:val="32"/>
          <w:szCs w:val="32"/>
          <w:shd w:fill="FFFFFF"/>
        </w:rPr>
        <w:t>（</w:t>
      </w:r>
      <w:r>
        <w:rPr>
          <w:color w:val="000000"/>
          <w:rFonts w:ascii="仿宋" w:hAnsi="仿宋"/>
          <w:sz w:val="32"/>
          <w:szCs w:val="32"/>
          <w:shd w:fill="FFFFFF"/>
        </w:rPr>
        <w:t>1）项目概述。农村公益事业财政奖补项目（原一事一议财政奖补项目）是以民主议事的形式，按照“村民自愿、村民受益、量力而行、民主决策、一事一议”原则，兴办“村内户外”公益事业建设项目。</w:t>
      </w:r>
    </w:p>
    <w:p>
      <w:pPr>
        <w:pStyle w:val=""/>
        <w:jc w:val="both"/>
        <w:ind w:firstLine="585"/>
        <w:spacing w:line="600" w:lineRule="exact"/>
        <w:rPr>
          <w:color w:val="000000"/>
          <w:rFonts w:ascii="Times New Roman" w:hAnsi="Times New Roman"/>
          <w:sz w:val="21"/>
          <w:szCs w:val="21"/>
        </w:rPr>
      </w:pPr>
      <w:r>
        <w:rPr>
          <w:color w:val="000000"/>
          <w:rFonts w:ascii="仿宋_GB2312" w:hAnsi="仿宋"/>
          <w:sz w:val="32"/>
          <w:szCs w:val="32"/>
          <w:shd w:fill="FFFFFF"/>
        </w:rPr>
        <w:t>（</w:t>
      </w:r>
      <w:r>
        <w:rPr>
          <w:color w:val="000000"/>
          <w:rFonts w:ascii="仿宋" w:hAnsi="仿宋"/>
          <w:sz w:val="32"/>
          <w:szCs w:val="32"/>
          <w:shd w:fill="FFFFFF"/>
        </w:rPr>
        <w:t>2）立项依据。区政府常务会议研究批准</w:t>
      </w:r>
    </w:p>
    <w:p>
      <w:pPr>
        <w:pStyle w:val=""/>
        <w:jc w:val="both"/>
        <w:ind w:firstLine="640"/>
        <w:spacing w:line="600" w:lineRule="exact"/>
        <w:rPr>
          <w:color w:val="000000"/>
          <w:rFonts w:ascii="Times New Roman" w:hAnsi="Times New Roman"/>
          <w:sz w:val="21"/>
          <w:szCs w:val="21"/>
        </w:rPr>
      </w:pPr>
      <w:r>
        <w:rPr>
          <w:color w:val="000000"/>
          <w:rFonts w:ascii="仿宋_GB2312" w:hAnsi="仿宋"/>
          <w:sz w:val="32"/>
          <w:szCs w:val="32"/>
          <w:shd w:fill="FFFFFF"/>
        </w:rPr>
        <w:t>（</w:t>
      </w:r>
      <w:r>
        <w:rPr>
          <w:color w:val="000000"/>
          <w:rFonts w:ascii="仿宋" w:hAnsi="仿宋"/>
          <w:sz w:val="32"/>
          <w:szCs w:val="32"/>
          <w:shd w:fill="FFFFFF"/>
        </w:rPr>
        <w:t>3）起止时间。</w:t>
      </w:r>
      <w:r>
        <w:rPr>
          <w:color w:val="000000"/>
          <w:rFonts w:ascii="仿宋" w:hAnsi="仿宋"/>
          <w:sz w:val="32"/>
          <w:szCs w:val="32"/>
          <w:shd w:fill="FFFFFF"/>
        </w:rPr>
        <w:t>2023</w:t>
      </w:r>
      <w:r>
        <w:rPr>
          <w:color w:val="000000"/>
          <w:rFonts w:ascii="仿宋" w:hAnsi="仿宋"/>
          <w:sz w:val="32"/>
          <w:szCs w:val="32"/>
          <w:shd w:fill="FFFFFF"/>
        </w:rPr>
        <w:t>年1月-12月</w:t>
      </w:r>
    </w:p>
    <w:p>
      <w:pPr>
        <w:pStyle w:val=""/>
        <w:jc w:val="both"/>
        <w:ind w:firstLine="642"/>
        <w:spacing w:line="600" w:lineRule="exact"/>
        <w:rPr>
          <w:color w:val="000000"/>
          <w:rFonts w:ascii="Times New Roman" w:hAnsi="Times New Roman"/>
          <w:sz w:val="21"/>
          <w:szCs w:val="21"/>
        </w:rPr>
      </w:pPr>
      <w:r>
        <w:rPr>
          <w:color w:val="000000"/>
          <w:rFonts w:ascii="仿宋_GB2312" w:hAnsi="仿宋"/>
          <w:sz w:val="32"/>
          <w:szCs w:val="32"/>
          <w:shd w:fill="FFFFFF"/>
        </w:rPr>
        <w:t>（</w:t>
      </w:r>
      <w:r>
        <w:rPr>
          <w:color w:val="000000"/>
          <w:rFonts w:ascii="仿宋" w:hAnsi="仿宋"/>
          <w:sz w:val="32"/>
          <w:szCs w:val="32"/>
          <w:shd w:fill="FFFFFF"/>
        </w:rPr>
        <w:t>4）项目内容。待定，需根据上级资金下达情况确定</w:t>
      </w:r>
    </w:p>
    <w:p>
      <w:pPr>
        <w:pStyle w:val=""/>
        <w:jc w:val="both"/>
        <w:ind w:firstLine="640"/>
        <w:spacing w:line="600" w:lineRule="exact"/>
        <w:rPr>
          <w:color w:val="000000"/>
          <w:rFonts w:ascii="Times New Roman" w:hAnsi="Times New Roman"/>
          <w:sz w:val="21"/>
          <w:szCs w:val="21"/>
        </w:rPr>
      </w:pPr>
      <w:r>
        <w:rPr>
          <w:color w:val="000000"/>
          <w:rFonts w:ascii="仿宋_GB2312" w:hAnsi="仿宋"/>
          <w:sz w:val="32"/>
          <w:szCs w:val="32"/>
          <w:shd w:fill="FFFFFF"/>
        </w:rPr>
        <w:t>（</w:t>
      </w:r>
      <w:r>
        <w:rPr>
          <w:color w:val="000000"/>
          <w:rFonts w:ascii="仿宋" w:hAnsi="仿宋"/>
          <w:sz w:val="32"/>
          <w:szCs w:val="32"/>
          <w:shd w:fill="FFFFFF"/>
        </w:rPr>
        <w:t>5）年度预算安排。区级配套120万元</w:t>
      </w:r>
      <w:r>
        <w:rPr>
          <w:color w:val="000000"/>
          <w:rFonts w:ascii="仿宋" w:hAnsi="仿宋"/>
          <w:sz w:val="32"/>
          <w:szCs w:val="32"/>
          <w:shd w:fill="FFFFFF"/>
        </w:rPr>
        <w:t>。</w:t>
      </w:r>
    </w:p>
    <w:p>
      <w:pPr>
        <w:pStyle w:val=""/>
        <w:jc w:val="both"/>
        <w:ind w:firstLine="640"/>
        <w:spacing w:line="600" w:lineRule="exact"/>
        <w:rPr>
          <w:color w:val="000000"/>
          <w:rFonts w:ascii="仿宋" w:hAnsi="仿宋"/>
          <w:sz w:val="32"/>
          <w:szCs w:val="32"/>
          <w:shd w:fill="FFFFFF"/>
        </w:rPr>
      </w:pPr>
      <w:r>
        <w:rPr>
          <w:color w:val="000000"/>
          <w:rFonts w:ascii="仿宋_GB2312" w:hAnsi="仿宋"/>
          <w:sz w:val="32"/>
          <w:szCs w:val="32"/>
          <w:shd w:fill="FFFFFF"/>
        </w:rPr>
        <w:t>（</w:t>
      </w:r>
      <w:r>
        <w:rPr>
          <w:color w:val="000000"/>
          <w:rFonts w:ascii="仿宋" w:hAnsi="仿宋"/>
          <w:sz w:val="32"/>
          <w:szCs w:val="32"/>
          <w:shd w:fill="FFFFFF"/>
        </w:rPr>
        <w:t>6）绩效目标和指标。根据上级财政部门要求确定。</w:t>
      </w:r>
    </w:p>
    <w:tbl>
      <w:tblPr>
        <w:tblBorders>
          <w:top w:val="nil" w:sz="2" w:color="000000" w:space="0"/>
          <w:bottom w:val="nil" w:sz="2" w:color="000000" w:space="0"/>
          <w:left w:val="nil" w:sz="2" w:color="000000" w:space="0"/>
          <w:right w:val="nil" w:sz="2" w:color="000000" w:space="0"/>
          <w:insideH w:val="nil" w:sz="2" w:color="000000" w:space="0"/>
          <w:insideV w:val="nil" w:sz="2" w:color="000000" w:space="0"/>
        </w:tblBorders>
        <w:tblInd w:w="-15" w:type="dxa"/>
        <w:tblStyle w:val="普通表格"/>
        <w:tblLook w:val="1E0"/>
        <w:tblW w:w="9580" w:type="dxa"/>
      </w:tblPr>
      <w:tblGrid>
        <w:gridCol w:w="1096"/>
        <w:gridCol w:w="837"/>
        <w:gridCol w:w="1385"/>
        <w:gridCol w:w="3063"/>
        <w:gridCol w:w="1706"/>
        <w:gridCol w:w="1493"/>
      </w:tblGrid>
      <w:tr>
        <w:trPr>
          <w:trHeight w:val="620" w:hRule="atLeast"/>
        </w:trPr>
        <w:tc>
          <w:tcPr>
            <w:gridSpan w:val="6"/>
            <w:tcBorders>
              <w:top w:val="nil" w:sz="0" w:color="auto" w:space="0"/>
              <w:bottom w:val="nil" w:sz="0" w:color="auto" w:space="0"/>
              <w:left w:val="nil" w:sz="0" w:color="auto" w:space="0"/>
              <w:right w:val="nil" w:sz="0" w:color="auto" w:space="0"/>
            </w:tcBorders>
            <w:vAlign w:val="center"/>
            <w:tcW w:w="0" w:type="nil"/>
          </w:tcPr>
          <w:p>
            <w:pPr>
              <w:pStyle w:val=""/>
              <w:jc w:val="center"/>
            </w:pPr>
            <w:r>
              <w:rPr>
                <w:b/>
                <w:color w:val="000000"/>
                <w:rFonts w:ascii="宋体" w:hAnsi="宋体"/>
                <w:sz w:val="40"/>
                <w:szCs w:val="40"/>
              </w:rPr>
              <w:t>项目支出绩效目标表</w:t>
            </w:r>
          </w:p>
        </w:tc>
      </w:tr>
      <w:tr>
        <w:trPr>
          <w:trHeight w:val="400" w:hRule="atLeast"/>
        </w:trPr>
        <w:tc>
          <w:tcPr>
            <w:gridSpan w:val="6"/>
            <w:tcBorders>
              <w:top w:val="nil" w:sz="0" w:color="auto" w:space="0"/>
              <w:bottom w:val="nil" w:sz="0" w:color="auto" w:space="0"/>
              <w:left w:val="nil" w:sz="0" w:color="auto" w:space="0"/>
              <w:right w:val="nil" w:sz="0" w:color="auto" w:space="0"/>
            </w:tcBorders>
            <w:vAlign w:val="top"/>
            <w:tcW w:w="0" w:type="nil"/>
          </w:tcPr>
          <w:p>
            <w:pPr>
              <w:pStyle w:val=""/>
              <w:jc w:val="center"/>
            </w:pPr>
            <w:r>
              <w:rPr>
                <w:color w:val="000000"/>
                <w:rFonts w:ascii="宋体" w:hAnsi="宋体"/>
                <w:sz w:val="24"/>
                <w:szCs w:val="24"/>
              </w:rPr>
              <w:t>（  2023 年度）</w:t>
            </w:r>
          </w:p>
        </w:tc>
      </w:tr>
      <w:tr>
        <w:trPr>
          <w:trHeight w:val="785" w:hRule="atLeast"/>
        </w:trPr>
        <w:tc>
          <w:tcPr>
            <w:gridSpan w:val="3"/>
            <w:tcBorders>
              <w:top w:val="single" w:sz="4" w:color="000000" w:space="0"/>
              <w:bottom w:val="single" w:sz="4" w:color="000000" w:space="0"/>
              <w:left w:val="single" w:sz="4" w:color="000000" w:space="0"/>
              <w:right w:val="single" w:sz="4" w:color="000000" w:space="0"/>
            </w:tcBorders>
            <w:vAlign w:val="center"/>
            <w:tcW w:w="0" w:type="nil"/>
          </w:tcPr>
          <w:p>
            <w:pPr>
              <w:pStyle w:val=""/>
              <w:jc w:val="center"/>
            </w:pPr>
            <w:r>
              <w:rPr>
                <w:color w:val="000000"/>
                <w:rFonts w:ascii="宋体" w:hAnsi="宋体"/>
                <w:sz w:val="24"/>
                <w:szCs w:val="24"/>
              </w:rPr>
              <w:t>项目名称</w:t>
            </w:r>
          </w:p>
        </w:tc>
        <w:tc>
          <w:tcPr>
            <w:gridSpan w:val="3"/>
            <w:tcBorders>
              <w:top w:val="single" w:sz="4" w:color="000000" w:space="0"/>
              <w:bottom w:val="single" w:sz="4" w:color="000000" w:space="0"/>
              <w:left w:val="single" w:sz="4" w:color="000000" w:space="0"/>
              <w:right w:val="single" w:sz="4" w:color="000000" w:space="0"/>
            </w:tcBorders>
            <w:vAlign w:val="center"/>
            <w:tcW w:w="0" w:type="nil"/>
          </w:tcPr>
          <w:p>
            <w:pPr>
              <w:pStyle w:val=""/>
              <w:jc w:val="center"/>
            </w:pPr>
            <w:r>
              <w:rPr>
                <w:color w:val="000000"/>
                <w:rFonts w:ascii="宋体" w:hAnsi="宋体"/>
                <w:sz w:val="24"/>
                <w:szCs w:val="24"/>
              </w:rPr>
              <w:t>农村公益事业财政奖补资金</w:t>
            </w:r>
          </w:p>
        </w:tc>
      </w:tr>
      <w:tr>
        <w:trPr>
          <w:trHeight w:val="785" w:hRule="atLeast"/>
        </w:trPr>
        <w:tc>
          <w:tcPr>
            <w:gridSpan w:val="3"/>
            <w:tcBorders>
              <w:top w:val="single" w:sz="4" w:color="000000" w:space="0"/>
              <w:bottom w:val="single" w:sz="4" w:color="000000" w:space="0"/>
              <w:left w:val="single" w:sz="4" w:color="000000" w:space="0"/>
              <w:right w:val="single" w:sz="4" w:color="000000" w:space="0"/>
            </w:tcBorders>
            <w:vAlign w:val="center"/>
            <w:tcW w:w="0" w:type="nil"/>
          </w:tcPr>
          <w:p>
            <w:pPr>
              <w:pStyle w:val=""/>
              <w:jc w:val="center"/>
            </w:pPr>
            <w:r>
              <w:rPr>
                <w:color w:val="000000"/>
                <w:rFonts w:ascii="宋体" w:hAnsi="宋体"/>
                <w:sz w:val="24"/>
                <w:szCs w:val="24"/>
              </w:rPr>
              <w:t>主管部门及代码</w:t>
            </w:r>
          </w:p>
        </w:tc>
        <w:tc>
          <w:tcPr>
            <w:tcBorders>
              <w:top w:val="single" w:sz="4" w:color="000000" w:space="0"/>
              <w:bottom w:val="single" w:sz="4" w:color="000000" w:space="0"/>
              <w:left w:val="single" w:sz="4" w:color="000000" w:space="0"/>
              <w:right w:val="single" w:sz="4" w:color="000000" w:space="0"/>
            </w:tcBorders>
            <w:vAlign w:val="center"/>
            <w:tcW w:w="0" w:type="nil"/>
          </w:tcPr>
          <w:p>
            <w:pPr>
              <w:pStyle w:val=""/>
              <w:jc w:val="center"/>
            </w:pPr>
            <w:r>
              <w:rPr>
                <w:color w:val="000000"/>
                <w:rFonts w:ascii="宋体" w:hAnsi="宋体"/>
                <w:sz w:val="24"/>
                <w:szCs w:val="24"/>
              </w:rPr>
              <w:t>烈山区财政局</w:t>
            </w:r>
          </w:p>
        </w:tc>
        <w:tc>
          <w:tcPr>
            <w:tcBorders>
              <w:top w:val="single" w:sz="4" w:color="000000" w:space="0"/>
              <w:bottom w:val="single" w:sz="4" w:color="000000" w:space="0"/>
              <w:left w:val="single" w:sz="4" w:color="000000" w:space="0"/>
              <w:right w:val="single" w:sz="4" w:color="000000" w:space="0"/>
            </w:tcBorders>
            <w:vAlign w:val="center"/>
            <w:tcW w:w="0" w:type="nil"/>
          </w:tcPr>
          <w:p>
            <w:pPr>
              <w:pStyle w:val=""/>
              <w:jc w:val="center"/>
            </w:pPr>
            <w:r>
              <w:rPr>
                <w:color w:val="000000"/>
                <w:rFonts w:ascii="宋体" w:hAnsi="宋体"/>
                <w:sz w:val="24"/>
                <w:szCs w:val="24"/>
              </w:rPr>
              <w:t>实施单位</w:t>
            </w:r>
          </w:p>
        </w:tc>
        <w:tc>
          <w:tcPr>
            <w:tcBorders>
              <w:top w:val="single" w:sz="4" w:color="000000" w:space="0"/>
              <w:bottom w:val="single" w:sz="4" w:color="000000" w:space="0"/>
              <w:left w:val="single" w:sz="4" w:color="000000" w:space="0"/>
              <w:right w:val="single" w:sz="4" w:color="000000" w:space="0"/>
            </w:tcBorders>
            <w:vAlign w:val="center"/>
            <w:tcW w:w="0" w:type="nil"/>
          </w:tcPr>
          <w:p>
            <w:pPr>
              <w:pStyle w:val=""/>
              <w:jc w:val="left"/>
            </w:pPr>
            <w:r>
              <w:rPr>
                <w:color w:val="000000"/>
                <w:rFonts w:ascii="宋体" w:hAnsi="宋体"/>
                <w:sz w:val="24"/>
                <w:szCs w:val="24"/>
              </w:rPr>
              <w:t>烈山区财政局</w:t>
            </w:r>
          </w:p>
        </w:tc>
      </w:tr>
      <w:tr>
        <w:trPr>
          <w:trHeight w:val="785" w:hRule="atLeast"/>
        </w:trPr>
        <w:tc>
          <w:tcPr>
            <w:gridSpan w:val="3"/>
            <w:tcBorders>
              <w:top w:val="single" w:sz="4" w:color="000000" w:space="0"/>
              <w:bottom w:val="single" w:sz="4" w:color="000000" w:space="0"/>
              <w:left w:val="single" w:sz="4" w:color="000000" w:space="0"/>
              <w:right w:val="single" w:sz="4" w:color="000000" w:space="0"/>
            </w:tcBorders>
            <w:vAlign w:val="center"/>
            <w:tcW w:w="0" w:type="nil"/>
          </w:tcPr>
          <w:p>
            <w:pPr>
              <w:pStyle w:val=""/>
              <w:jc w:val="center"/>
            </w:pPr>
            <w:r>
              <w:rPr>
                <w:color w:val="000000"/>
                <w:rFonts w:ascii="宋体" w:hAnsi="宋体"/>
                <w:sz w:val="24"/>
                <w:szCs w:val="24"/>
              </w:rPr>
              <w:t>项目来源</w:t>
            </w:r>
          </w:p>
        </w:tc>
        <w:tc>
          <w:tcPr>
            <w:tcBorders>
              <w:top w:val="single" w:sz="4" w:color="000000" w:space="0"/>
              <w:bottom w:val="single" w:sz="4" w:color="000000" w:space="0"/>
              <w:left w:val="single" w:sz="4" w:color="000000" w:space="0"/>
              <w:right w:val="single" w:sz="4" w:color="000000" w:space="0"/>
            </w:tcBorders>
            <w:vAlign w:val="center"/>
            <w:tcW w:w="0" w:type="nil"/>
          </w:tcPr>
          <w:p>
            <w:pPr>
              <w:pStyle w:val=""/>
              <w:jc w:val="center"/>
            </w:pPr>
          </w:p>
        </w:tc>
        <w:tc>
          <w:tcPr>
            <w:tcBorders>
              <w:top w:val="single" w:sz="4" w:color="000000" w:space="0"/>
              <w:bottom w:val="nil" w:sz="0" w:color="auto" w:space="0"/>
              <w:left w:val="single" w:sz="4" w:color="000000" w:space="0"/>
              <w:right w:val="single" w:sz="4" w:color="000000" w:space="0"/>
            </w:tcBorders>
            <w:vAlign w:val="center"/>
            <w:tcW w:w="0" w:type="nil"/>
          </w:tcPr>
          <w:p>
            <w:pPr>
              <w:pStyle w:val=""/>
              <w:jc w:val="center"/>
            </w:pPr>
            <w:r>
              <w:rPr>
                <w:color w:val="000000"/>
                <w:rFonts w:ascii="宋体" w:hAnsi="宋体"/>
                <w:sz w:val="24"/>
                <w:szCs w:val="24"/>
              </w:rPr>
              <w:t>项目期</w:t>
            </w:r>
          </w:p>
        </w:tc>
        <w:tc>
          <w:tcPr>
            <w:tcBorders>
              <w:top w:val="single" w:sz="4" w:color="000000" w:space="0"/>
              <w:bottom w:val="nil" w:sz="0" w:color="auto" w:space="0"/>
              <w:left w:val="single" w:sz="4" w:color="000000" w:space="0"/>
              <w:right w:val="single" w:sz="4" w:color="000000" w:space="0"/>
            </w:tcBorders>
            <w:vAlign w:val="center"/>
            <w:tcW w:w="0" w:type="nil"/>
          </w:tcPr>
          <w:p>
            <w:pPr>
              <w:pStyle w:val=""/>
              <w:jc w:val="left"/>
            </w:pPr>
            <w:r>
              <w:rPr>
                <w:color w:val="000000"/>
                <w:rFonts w:ascii="宋体" w:hAnsi="宋体"/>
                <w:sz w:val="24"/>
                <w:szCs w:val="24"/>
              </w:rPr>
              <w:t>2023年</w:t>
            </w:r>
          </w:p>
        </w:tc>
      </w:tr>
      <w:tr>
        <w:trPr>
          <w:trHeight w:val="684" w:hRule="atLeast"/>
        </w:trPr>
        <w:tc>
          <w:tcPr>
            <w:gridSpan w:val="3"/>
            <w:tcBorders>
              <w:top w:val="single" w:sz="4" w:color="000000" w:space="0"/>
              <w:bottom w:val="single" w:sz="4" w:color="000000" w:space="0"/>
              <w:left w:val="single" w:sz="4" w:color="000000" w:space="0"/>
              <w:right w:val="single" w:sz="4" w:color="000000" w:space="0"/>
            </w:tcBorders>
            <w:vAlign w:val="center"/>
            <w:vMerge w:val="restart"/>
            <w:tcW w:w="0" w:type="nil"/>
          </w:tcPr>
          <w:p>
            <w:pPr>
              <w:pStyle w:val=""/>
              <w:jc w:val="center"/>
            </w:pPr>
            <w:r>
              <w:rPr>
                <w:color w:val="000000"/>
                <w:rFonts w:ascii="宋体" w:hAnsi="宋体"/>
                <w:sz w:val="24"/>
                <w:szCs w:val="24"/>
              </w:rPr>
              <w:t>项目资金（万元）</w:t>
            </w:r>
          </w:p>
        </w:tc>
        <w:tc>
          <w:tcPr>
            <w:tcBorders>
              <w:top w:val="single" w:sz="4" w:color="000000" w:space="0"/>
              <w:bottom w:val="single" w:sz="4" w:color="000000" w:space="0"/>
              <w:left w:val="single" w:sz="4" w:color="000000" w:space="0"/>
              <w:right w:val="single" w:sz="4" w:color="000000" w:space="0"/>
            </w:tcBorders>
            <w:vAlign w:val="center"/>
            <w:tcW w:w="0" w:type="nil"/>
          </w:tcPr>
          <w:p>
            <w:pPr>
              <w:pStyle w:val=""/>
              <w:jc w:val="center"/>
            </w:pPr>
            <w:r>
              <w:rPr>
                <w:color w:val="000000"/>
                <w:rFonts w:ascii="宋体" w:hAnsi="宋体"/>
                <w:sz w:val="24"/>
                <w:szCs w:val="24"/>
              </w:rPr>
              <w:t>年度资金总额</w:t>
            </w:r>
          </w:p>
        </w:tc>
        <w:tc>
          <w:tcPr>
            <w:gridSpan w:val="2"/>
            <w:tcBorders>
              <w:top w:val="single" w:sz="4" w:color="000000" w:space="0"/>
              <w:bottom w:val="single" w:sz="4" w:color="000000" w:space="0"/>
              <w:left w:val="single" w:sz="4" w:color="000000" w:space="0"/>
              <w:right w:val="single" w:sz="4" w:color="000000" w:space="0"/>
            </w:tcBorders>
            <w:vAlign w:val="center"/>
            <w:tcW w:w="0" w:type="nil"/>
          </w:tcPr>
          <w:p>
            <w:pPr>
              <w:pStyle w:val=""/>
              <w:jc w:val="center"/>
            </w:pPr>
            <w:r>
              <w:rPr>
                <w:color w:val="000000"/>
                <w:rFonts w:ascii="宋体" w:hAnsi="宋体"/>
                <w:sz w:val="22"/>
                <w:szCs w:val="22"/>
              </w:rPr>
              <w:t>120</w:t>
            </w:r>
          </w:p>
        </w:tc>
      </w:tr>
      <w:tr>
        <w:trPr>
          <w:trHeight w:val="725" w:hRule="atLeast"/>
        </w:trPr>
        <w:tc>
          <w:tcPr>
            <w:vMerge/>
            <w:tcBorders>
              <w:top w:val="single" w:sz="4" w:color="000000" w:space="0"/>
              <w:bottom w:val="single" w:sz="4" w:color="000000" w:space="0"/>
              <w:left w:val="single" w:sz="4" w:color="000000" w:space="0"/>
              <w:right w:val="single" w:sz="4" w:color="000000" w:space="0"/>
            </w:tcBorders>
            <w:gridSpan w:val="3"/>
          </w:tcPr>
          <w:p/>
        </w:tc>
        <w:tc>
          <w:tcPr>
            <w:tcBorders>
              <w:top w:val="single" w:sz="4" w:color="000000" w:space="0"/>
              <w:bottom w:val="single" w:sz="4" w:color="000000" w:space="0"/>
              <w:left w:val="single" w:sz="4" w:color="000000" w:space="0"/>
              <w:right w:val="single" w:sz="4" w:color="000000" w:space="0"/>
            </w:tcBorders>
            <w:vAlign w:val="center"/>
            <w:tcW w:w="0" w:type="nil"/>
          </w:tcPr>
          <w:p>
            <w:pPr>
              <w:pStyle w:val=""/>
              <w:jc w:val="center"/>
            </w:pPr>
            <w:r>
              <w:rPr>
                <w:color w:val="000000"/>
                <w:rFonts w:ascii="宋体" w:hAnsi="宋体"/>
                <w:sz w:val="24"/>
                <w:szCs w:val="24"/>
              </w:rPr>
              <w:t>其中：本年财政拨款</w:t>
            </w:r>
          </w:p>
        </w:tc>
        <w:tc>
          <w:tcPr>
            <w:gridSpan w:val="2"/>
            <w:tcBorders>
              <w:top w:val="single" w:sz="4" w:color="000000" w:space="0"/>
              <w:bottom w:val="single" w:sz="4" w:color="000000" w:space="0"/>
              <w:left w:val="single" w:sz="4" w:color="000000" w:space="0"/>
              <w:right w:val="single" w:sz="4" w:color="000000" w:space="0"/>
            </w:tcBorders>
            <w:vAlign w:val="center"/>
            <w:tcW w:w="0" w:type="nil"/>
          </w:tcPr>
          <w:p>
            <w:pPr>
              <w:pStyle w:val=""/>
              <w:jc w:val="center"/>
            </w:pPr>
            <w:r>
              <w:rPr>
                <w:color w:val="000000"/>
                <w:rFonts w:ascii="宋体" w:hAnsi="宋体"/>
                <w:sz w:val="22"/>
                <w:szCs w:val="22"/>
              </w:rPr>
              <w:t>120</w:t>
            </w:r>
          </w:p>
        </w:tc>
      </w:tr>
      <w:tr>
        <w:trPr>
          <w:trHeight w:val="648" w:hRule="atLeast"/>
        </w:trPr>
        <w:tc>
          <w:tcPr>
            <w:vMerge/>
            <w:tcBorders>
              <w:top w:val="single" w:sz="4" w:color="000000" w:space="0"/>
              <w:bottom w:val="single" w:sz="4" w:color="000000" w:space="0"/>
              <w:left w:val="single" w:sz="4" w:color="000000" w:space="0"/>
              <w:right w:val="single" w:sz="4" w:color="000000" w:space="0"/>
            </w:tcBorders>
            <w:gridSpan w:val="3"/>
          </w:tcPr>
          <w:p/>
        </w:tc>
        <w:tc>
          <w:tcPr>
            <w:tcBorders>
              <w:top w:val="single" w:sz="4" w:color="000000" w:space="0"/>
              <w:bottom w:val="single" w:sz="4" w:color="000000" w:space="0"/>
              <w:left w:val="single" w:sz="4" w:color="000000" w:space="0"/>
              <w:right w:val="single" w:sz="4" w:color="000000" w:space="0"/>
            </w:tcBorders>
            <w:vAlign w:val="center"/>
            <w:tcW w:w="0" w:type="nil"/>
          </w:tcPr>
          <w:p>
            <w:pPr>
              <w:pStyle w:val=""/>
              <w:jc w:val="center"/>
            </w:pPr>
            <w:r>
              <w:rPr>
                <w:color w:val="000000"/>
                <w:rFonts w:ascii="宋体" w:hAnsi="宋体"/>
                <w:sz w:val="24"/>
                <w:szCs w:val="24"/>
              </w:rPr>
              <w:t>上年结转资金</w:t>
            </w:r>
          </w:p>
        </w:tc>
        <w:tc>
          <w:tcPr>
            <w:gridSpan w:val="2"/>
            <w:tcBorders>
              <w:top w:val="single" w:sz="4" w:color="000000" w:space="0"/>
              <w:bottom w:val="single" w:sz="4" w:color="000000" w:space="0"/>
              <w:left w:val="single" w:sz="4" w:color="000000" w:space="0"/>
              <w:right w:val="single" w:sz="4" w:color="000000" w:space="0"/>
            </w:tcBorders>
            <w:vAlign w:val="center"/>
            <w:tcW w:w="0" w:type="nil"/>
          </w:tcPr>
          <w:p>
            <w:pPr>
              <w:pStyle w:val=""/>
              <w:jc w:val="center"/>
            </w:pPr>
          </w:p>
        </w:tc>
      </w:tr>
      <w:tr>
        <w:trPr>
          <w:trHeight w:val="487" w:hRule="atLeast"/>
        </w:trPr>
        <w:tc>
          <w:tcPr>
            <w:vMerge/>
            <w:tcBorders>
              <w:top w:val="single" w:sz="4" w:color="000000" w:space="0"/>
              <w:bottom w:val="single" w:sz="4" w:color="000000" w:space="0"/>
              <w:left w:val="single" w:sz="4" w:color="000000" w:space="0"/>
              <w:right w:val="single" w:sz="4" w:color="000000" w:space="0"/>
            </w:tcBorders>
            <w:gridSpan w:val="3"/>
          </w:tcPr>
          <w:p/>
        </w:tc>
        <w:tc>
          <w:tcPr>
            <w:tcBorders>
              <w:top w:val="single" w:sz="4" w:color="000000" w:space="0"/>
              <w:bottom w:val="nil" w:sz="0" w:color="auto" w:space="0"/>
              <w:left w:val="single" w:sz="4" w:color="000000" w:space="0"/>
              <w:right w:val="single" w:sz="4" w:color="000000" w:space="0"/>
            </w:tcBorders>
            <w:vAlign w:val="center"/>
            <w:tcW w:w="0" w:type="nil"/>
          </w:tcPr>
          <w:p>
            <w:pPr>
              <w:pStyle w:val=""/>
              <w:jc w:val="center"/>
            </w:pPr>
            <w:r>
              <w:rPr>
                <w:color w:val="000000"/>
                <w:rFonts w:ascii="宋体" w:hAnsi="宋体"/>
                <w:sz w:val="24"/>
                <w:szCs w:val="24"/>
              </w:rPr>
              <w:t>其他资金</w:t>
            </w:r>
          </w:p>
        </w:tc>
        <w:tc>
          <w:tcPr>
            <w:gridSpan w:val="2"/>
            <w:tcBorders>
              <w:top w:val="single" w:sz="4" w:color="000000" w:space="0"/>
              <w:bottom w:val="nil" w:sz="0" w:color="auto" w:space="0"/>
              <w:left w:val="single" w:sz="4" w:color="000000" w:space="0"/>
              <w:right w:val="single" w:sz="4" w:color="000000" w:space="0"/>
            </w:tcBorders>
            <w:vAlign w:val="center"/>
            <w:tcW w:w="0" w:type="nil"/>
          </w:tcPr>
          <w:p>
            <w:pPr>
              <w:pStyle w:val=""/>
              <w:jc w:val="center"/>
            </w:pPr>
          </w:p>
        </w:tc>
      </w:tr>
      <w:tr>
        <w:trPr>
          <w:trHeight w:val="1023" w:hRule="atLeast"/>
        </w:trPr>
        <w:tc>
          <w:tcPr>
            <w:tcBorders>
              <w:top w:val="single" w:sz="4" w:color="000000" w:space="0"/>
              <w:bottom w:val="single" w:sz="4" w:color="000000" w:space="0"/>
              <w:left w:val="single" w:sz="4" w:color="000000" w:space="0"/>
              <w:right w:val="single" w:sz="4" w:color="000000" w:space="0"/>
            </w:tcBorders>
            <w:vAlign w:val="center"/>
            <w:tcW w:w="0" w:type="nil"/>
          </w:tcPr>
          <w:p>
            <w:pPr>
              <w:pStyle w:val=""/>
              <w:jc w:val="left"/>
            </w:pPr>
            <w:r>
              <w:rPr>
                <w:color w:val="000000"/>
                <w:rFonts w:ascii="宋体" w:hAnsi="宋体"/>
                <w:sz w:val="22"/>
                <w:szCs w:val="22"/>
              </w:rPr>
              <w:t>年度目标</w:t>
            </w:r>
          </w:p>
        </w:tc>
        <w:tc>
          <w:tcPr>
            <w:gridSpan w:val="5"/>
            <w:tcBorders>
              <w:top w:val="single" w:sz="4" w:color="000000" w:space="0"/>
              <w:bottom w:val="single" w:sz="4" w:color="000000" w:space="0"/>
              <w:left w:val="single" w:sz="4" w:color="000000" w:space="0"/>
              <w:right w:val="single" w:sz="4" w:color="000000" w:space="0"/>
            </w:tcBorders>
            <w:vAlign w:val="center"/>
            <w:tcW w:w="0" w:type="nil"/>
          </w:tcPr>
          <w:p>
            <w:pPr>
              <w:pStyle w:val=""/>
              <w:jc w:val="center"/>
            </w:pPr>
            <w:r>
              <w:rPr>
                <w:color w:val="000000"/>
                <w:rFonts w:ascii="宋体" w:hAnsi="宋体"/>
                <w:sz w:val="24"/>
                <w:szCs w:val="24"/>
              </w:rPr>
              <w:t>完成市级下达农村公益事业财政奖补项目任务、推进农村公益事业发展</w:t>
            </w:r>
          </w:p>
        </w:tc>
      </w:tr>
      <w:tr>
        <w:trPr>
          <w:trHeight w:val="565" w:hRule="atLeast"/>
        </w:trPr>
        <w:tc>
          <w:tcPr>
            <w:tcBorders>
              <w:top w:val="single" w:sz="4" w:color="000000" w:space="0"/>
              <w:bottom w:val="single" w:sz="4" w:color="000000" w:space="0"/>
              <w:left w:val="single" w:sz="4" w:color="000000" w:space="0"/>
              <w:right w:val="single" w:sz="4" w:color="000000" w:space="0"/>
            </w:tcBorders>
            <w:vAlign w:val="center"/>
            <w:vMerge w:val="restart"/>
            <w:tcW w:w="0" w:type="nil"/>
          </w:tcPr>
          <w:p>
            <w:pPr>
              <w:pStyle w:val=""/>
              <w:jc w:val="center"/>
            </w:pPr>
            <w:r>
              <w:rPr>
                <w:color w:val="000000"/>
                <w:rFonts w:ascii="宋体" w:hAnsi="宋体"/>
                <w:sz w:val="24"/>
                <w:szCs w:val="24"/>
              </w:rPr>
              <w:t>绩效指标</w:t>
            </w:r>
          </w:p>
        </w:tc>
        <w:tc>
          <w:tcPr>
            <w:tcBorders>
              <w:top w:val="nil" w:sz="0" w:color="auto" w:space="0"/>
              <w:bottom w:val="single" w:sz="4" w:color="000000" w:space="0"/>
              <w:left w:val="single" w:sz="4" w:color="000000" w:space="0"/>
              <w:right w:val="single" w:sz="4" w:color="000000" w:space="0"/>
            </w:tcBorders>
            <w:vAlign w:val="center"/>
            <w:vMerge w:val="restart"/>
            <w:tcW w:w="0" w:type="nil"/>
          </w:tcPr>
          <w:p>
            <w:pPr>
              <w:pStyle w:val=""/>
              <w:jc w:val="center"/>
            </w:pPr>
            <w:r>
              <w:rPr>
                <w:color w:val="000000"/>
                <w:rFonts w:ascii="宋体" w:hAnsi="宋体"/>
                <w:sz w:val="24"/>
                <w:szCs w:val="24"/>
              </w:rPr>
              <w:t>一级指标</w:t>
            </w:r>
          </w:p>
        </w:tc>
        <w:tc>
          <w:tcPr>
            <w:tcBorders>
              <w:top w:val="nil" w:sz="0" w:color="auto" w:space="0"/>
              <w:bottom w:val="single" w:sz="4" w:color="000000" w:space="0"/>
              <w:left w:val="single" w:sz="4" w:color="000000" w:space="0"/>
              <w:right w:val="single" w:sz="4" w:color="000000" w:space="0"/>
            </w:tcBorders>
            <w:vAlign w:val="center"/>
            <w:vMerge w:val="restart"/>
            <w:tcW w:w="0" w:type="nil"/>
          </w:tcPr>
          <w:p>
            <w:pPr>
              <w:pStyle w:val=""/>
              <w:jc w:val="center"/>
            </w:pPr>
            <w:r>
              <w:rPr>
                <w:color w:val="000000"/>
                <w:rFonts w:ascii="宋体" w:hAnsi="宋体"/>
                <w:sz w:val="24"/>
                <w:szCs w:val="24"/>
              </w:rPr>
              <w:t>二级指标</w:t>
            </w:r>
          </w:p>
        </w:tc>
        <w:tc>
          <w:tcPr>
            <w:tcBorders>
              <w:top w:val="nil" w:sz="0" w:color="auto" w:space="0"/>
              <w:bottom w:val="single" w:sz="4" w:color="000000" w:space="0"/>
              <w:left w:val="single" w:sz="4" w:color="000000" w:space="0"/>
              <w:right w:val="single" w:sz="4" w:color="000000" w:space="0"/>
            </w:tcBorders>
            <w:vAlign w:val="center"/>
            <w:vMerge w:val="restart"/>
            <w:tcW w:w="0" w:type="nil"/>
          </w:tcPr>
          <w:p>
            <w:pPr>
              <w:pStyle w:val=""/>
              <w:jc w:val="center"/>
            </w:pPr>
            <w:r>
              <w:rPr>
                <w:color w:val="000000"/>
                <w:rFonts w:ascii="宋体" w:hAnsi="宋体"/>
                <w:sz w:val="24"/>
                <w:szCs w:val="24"/>
              </w:rPr>
              <w:t>三级指标</w:t>
            </w:r>
          </w:p>
        </w:tc>
        <w:tc>
          <w:tcPr>
            <w:gridSpan w:val="2"/>
            <w:tcBorders>
              <w:top w:val="nil" w:sz="0" w:color="auto" w:space="0"/>
              <w:bottom w:val="single" w:sz="4" w:color="000000" w:space="0"/>
              <w:left w:val="single" w:sz="4" w:color="000000" w:space="0"/>
              <w:right w:val="single" w:sz="4" w:color="000000" w:space="0"/>
            </w:tcBorders>
            <w:vAlign w:val="center"/>
            <w:vMerge w:val="restart"/>
            <w:tcW w:w="0" w:type="nil"/>
          </w:tcPr>
          <w:p>
            <w:pPr>
              <w:pStyle w:val=""/>
              <w:jc w:val="center"/>
            </w:pPr>
            <w:r>
              <w:rPr>
                <w:color w:val="000000"/>
                <w:rFonts w:ascii="宋体" w:hAnsi="宋体"/>
                <w:sz w:val="24"/>
                <w:szCs w:val="24"/>
              </w:rPr>
              <w:t>指标值</w:t>
            </w:r>
          </w:p>
        </w:tc>
      </w:tr>
      <w:tr>
        <w:trPr>
          <w:trHeight w:val="328" w:hRule="atLeast"/>
        </w:trPr>
        <w:tc>
          <w:tcPr>
            <w:vMerge/>
            <w:tcBorders>
              <w:top w:val="single" w:sz="4" w:color="000000" w:space="0"/>
              <w:bottom w:val="single" w:sz="4" w:color="000000" w:space="0"/>
              <w:left w:val="single" w:sz="4" w:color="000000" w:space="0"/>
              <w:right w:val="single" w:sz="4" w:color="000000" w:space="0"/>
            </w:tcBorders>
          </w:tcPr>
          <w:p/>
        </w:tc>
        <w:tc>
          <w:tcPr>
            <w:vMerge/>
            <w:tcBorders>
              <w:top w:val="nil" w:sz="0" w:color="auto" w:space="0"/>
              <w:bottom w:val="single" w:sz="4" w:color="000000" w:space="0"/>
              <w:left w:val="single" w:sz="4" w:color="000000" w:space="0"/>
              <w:right w:val="single" w:sz="4" w:color="000000" w:space="0"/>
            </w:tcBorders>
          </w:tcPr>
          <w:p/>
        </w:tc>
        <w:tc>
          <w:tcPr>
            <w:vMerge/>
            <w:tcBorders>
              <w:top w:val="nil" w:sz="0" w:color="auto" w:space="0"/>
              <w:bottom w:val="single" w:sz="4" w:color="000000" w:space="0"/>
              <w:left w:val="single" w:sz="4" w:color="000000" w:space="0"/>
              <w:right w:val="single" w:sz="4" w:color="000000" w:space="0"/>
            </w:tcBorders>
          </w:tcPr>
          <w:p/>
        </w:tc>
        <w:tc>
          <w:tcPr>
            <w:vMerge/>
            <w:tcBorders>
              <w:top w:val="nil" w:sz="0" w:color="auto" w:space="0"/>
              <w:bottom w:val="single" w:sz="4" w:color="000000" w:space="0"/>
              <w:left w:val="single" w:sz="4" w:color="000000" w:space="0"/>
              <w:right w:val="single" w:sz="4" w:color="000000" w:space="0"/>
            </w:tcBorders>
          </w:tcPr>
          <w:p/>
        </w:tc>
        <w:tc>
          <w:tcPr>
            <w:vMerge/>
            <w:tcBorders>
              <w:top w:val="nil" w:sz="0" w:color="auto" w:space="0"/>
              <w:bottom w:val="single" w:sz="4" w:color="000000" w:space="0"/>
              <w:left w:val="single" w:sz="4" w:color="000000" w:space="0"/>
              <w:right w:val="single" w:sz="4" w:color="000000" w:space="0"/>
            </w:tcBorders>
            <w:gridSpan w:val="2"/>
          </w:tcPr>
          <w:p/>
        </w:tc>
      </w:tr>
      <w:tr>
        <w:trPr>
          <w:trHeight w:val="566" w:hRule="atLeast"/>
        </w:trPr>
        <w:tc>
          <w:tcPr>
            <w:vMerge/>
            <w:tcBorders>
              <w:top w:val="single" w:sz="4" w:color="000000" w:space="0"/>
              <w:bottom w:val="single" w:sz="4" w:color="000000" w:space="0"/>
              <w:left w:val="single" w:sz="4" w:color="000000" w:space="0"/>
              <w:right w:val="single" w:sz="4" w:color="000000" w:space="0"/>
            </w:tcBorders>
          </w:tcPr>
          <w:p/>
        </w:tc>
        <w:tc>
          <w:tcPr>
            <w:tcBorders>
              <w:top w:val="single" w:sz="4" w:color="000000" w:space="0"/>
              <w:bottom w:val="single" w:sz="4" w:color="000000" w:space="0"/>
              <w:left w:val="single" w:sz="4" w:color="000000" w:space="0"/>
              <w:right w:val="single" w:sz="4" w:color="000000" w:space="0"/>
            </w:tcBorders>
            <w:vAlign w:val="center"/>
            <w:vMerge w:val="restart"/>
            <w:tcW w:w="0" w:type="nil"/>
          </w:tcPr>
          <w:p>
            <w:pPr>
              <w:pStyle w:val=""/>
              <w:jc w:val="center"/>
            </w:pPr>
            <w:r>
              <w:rPr>
                <w:color w:val="000000"/>
                <w:rFonts w:ascii="宋体" w:hAnsi="宋体"/>
                <w:sz w:val="24"/>
                <w:szCs w:val="24"/>
              </w:rPr>
              <w:t>产</w:t>
            </w:r>
            <w:r>
              <w:rPr>
                <w:color w:val="000000"/>
                <w:rFonts w:ascii="宋体" w:hAnsi="宋体"/>
                <w:sz w:val="24"/>
                <w:szCs w:val="24"/>
              </w:rPr>
              <w:t> </w:t>
            </w:r>
            <w:r>
              <w:rPr>
                <w:color w:val="000000"/>
                <w:rFonts w:ascii="宋体" w:hAnsi="宋体"/>
                <w:sz w:val="24"/>
                <w:szCs w:val="24"/>
              </w:rPr>
              <w:t>出</w:t>
            </w:r>
            <w:r>
              <w:rPr>
                <w:color w:val="000000"/>
                <w:rFonts w:ascii="宋体" w:hAnsi="宋体"/>
                <w:sz w:val="24"/>
                <w:szCs w:val="24"/>
              </w:rPr>
              <w:t> </w:t>
            </w:r>
            <w:r>
              <w:rPr>
                <w:color w:val="000000"/>
                <w:rFonts w:ascii="宋体" w:hAnsi="宋体"/>
                <w:sz w:val="24"/>
                <w:szCs w:val="24"/>
              </w:rPr>
              <w:t>指</w:t>
            </w:r>
            <w:r>
              <w:rPr>
                <w:color w:val="000000"/>
                <w:rFonts w:ascii="宋体" w:hAnsi="宋体"/>
                <w:sz w:val="24"/>
                <w:szCs w:val="24"/>
              </w:rPr>
              <w:t> </w:t>
            </w:r>
            <w:r>
              <w:rPr>
                <w:color w:val="000000"/>
                <w:rFonts w:ascii="宋体" w:hAnsi="宋体"/>
                <w:sz w:val="24"/>
                <w:szCs w:val="24"/>
              </w:rPr>
              <w:t>标</w:t>
            </w:r>
          </w:p>
        </w:tc>
        <w:tc>
          <w:tcPr>
            <w:tcBorders>
              <w:top w:val="single" w:sz="4" w:color="000000" w:space="0"/>
              <w:bottom w:val="single" w:sz="4" w:color="000000" w:space="0"/>
              <w:left w:val="single" w:sz="4" w:color="000000" w:space="0"/>
              <w:right w:val="single" w:sz="4" w:color="000000" w:space="0"/>
            </w:tcBorders>
            <w:vAlign w:val="center"/>
            <w:tcW w:w="0" w:type="nil"/>
          </w:tcPr>
          <w:p>
            <w:pPr>
              <w:pStyle w:val=""/>
              <w:jc w:val="center"/>
            </w:pPr>
            <w:r>
              <w:rPr>
                <w:color w:val="000000"/>
                <w:rFonts w:ascii="宋体" w:hAnsi="宋体"/>
                <w:sz w:val="24"/>
                <w:szCs w:val="24"/>
              </w:rPr>
              <w:t>数量指标</w:t>
            </w:r>
          </w:p>
        </w:tc>
        <w:tc>
          <w:tcPr>
            <w:tcBorders>
              <w:top w:val="single" w:sz="4" w:color="000000" w:space="0"/>
              <w:bottom w:val="single" w:sz="4" w:color="000000" w:space="0"/>
              <w:left w:val="single" w:sz="4" w:color="000000" w:space="0"/>
              <w:right w:val="single" w:sz="4" w:color="000000" w:space="0"/>
            </w:tcBorders>
            <w:vAlign w:val="center"/>
            <w:tcW w:w="0" w:type="nil"/>
          </w:tcPr>
          <w:p>
            <w:pPr>
              <w:pStyle w:val=""/>
              <w:jc w:val="center"/>
            </w:pPr>
          </w:p>
        </w:tc>
        <w:tc>
          <w:tcPr>
            <w:gridSpan w:val="2"/>
            <w:tcBorders>
              <w:top w:val="single" w:sz="4" w:color="000000" w:space="0"/>
              <w:bottom w:val="single" w:sz="4" w:color="000000" w:space="0"/>
              <w:left w:val="single" w:sz="4" w:color="000000" w:space="0"/>
              <w:right w:val="single" w:sz="4" w:color="000000" w:space="0"/>
            </w:tcBorders>
            <w:vAlign w:val="center"/>
            <w:tcW w:w="0" w:type="nil"/>
          </w:tcPr>
          <w:p>
            <w:pPr>
              <w:pStyle w:val=""/>
              <w:jc w:val="center"/>
            </w:pPr>
          </w:p>
        </w:tc>
      </w:tr>
      <w:tr>
        <w:trPr>
          <w:trHeight w:val="606" w:hRule="atLeast"/>
        </w:trPr>
        <w:tc>
          <w:tcPr>
            <w:vMerge/>
            <w:tcBorders>
              <w:top w:val="single" w:sz="4" w:color="000000" w:space="0"/>
              <w:bottom w:val="single" w:sz="4" w:color="000000" w:space="0"/>
              <w:left w:val="single" w:sz="4" w:color="000000" w:space="0"/>
              <w:right w:val="single" w:sz="4" w:color="000000" w:space="0"/>
            </w:tcBorders>
          </w:tcPr>
          <w:p/>
        </w:tc>
        <w:tc>
          <w:tcPr>
            <w:vMerge/>
            <w:tcBorders>
              <w:top w:val="single" w:sz="4" w:color="000000" w:space="0"/>
              <w:bottom w:val="single" w:sz="4" w:color="000000" w:space="0"/>
              <w:left w:val="single" w:sz="4" w:color="000000" w:space="0"/>
              <w:right w:val="single" w:sz="4" w:color="000000" w:space="0"/>
            </w:tcBorders>
          </w:tcPr>
          <w:p/>
        </w:tc>
        <w:tc>
          <w:tcPr>
            <w:tcBorders>
              <w:top w:val="single" w:sz="4" w:color="000000" w:space="0"/>
              <w:bottom w:val="single" w:sz="4" w:color="000000" w:space="0"/>
              <w:left w:val="single" w:sz="4" w:color="000000" w:space="0"/>
              <w:right w:val="single" w:sz="4" w:color="000000" w:space="0"/>
            </w:tcBorders>
            <w:vAlign w:val="center"/>
            <w:tcW w:w="0" w:type="nil"/>
          </w:tcPr>
          <w:p>
            <w:pPr>
              <w:pStyle w:val=""/>
              <w:jc w:val="center"/>
            </w:pPr>
            <w:r>
              <w:rPr>
                <w:color w:val="000000"/>
                <w:rFonts w:ascii="宋体" w:hAnsi="宋体"/>
                <w:sz w:val="24"/>
                <w:szCs w:val="24"/>
              </w:rPr>
              <w:t>质量指标</w:t>
            </w:r>
          </w:p>
        </w:tc>
        <w:tc>
          <w:tcPr>
            <w:tcBorders>
              <w:top w:val="single" w:sz="4" w:color="000000" w:space="0"/>
              <w:bottom w:val="single" w:sz="4" w:color="000000" w:space="0"/>
              <w:left w:val="single" w:sz="4" w:color="000000" w:space="0"/>
              <w:right w:val="single" w:sz="4" w:color="000000" w:space="0"/>
            </w:tcBorders>
            <w:vAlign w:val="center"/>
            <w:tcW w:w="0" w:type="nil"/>
          </w:tcPr>
          <w:p>
            <w:pPr>
              <w:pStyle w:val=""/>
              <w:jc w:val="center"/>
            </w:pPr>
            <w:r>
              <w:rPr>
                <w:color w:val="000000"/>
                <w:rFonts w:ascii="宋体" w:hAnsi="宋体"/>
                <w:sz w:val="24"/>
                <w:szCs w:val="24"/>
              </w:rPr>
              <w:t>农村公益事业财政奖补项目</w:t>
            </w:r>
          </w:p>
        </w:tc>
        <w:tc>
          <w:tcPr>
            <w:gridSpan w:val="2"/>
            <w:tcBorders>
              <w:top w:val="single" w:sz="4" w:color="000000" w:space="0"/>
              <w:bottom w:val="single" w:sz="4" w:color="000000" w:space="0"/>
              <w:left w:val="single" w:sz="4" w:color="000000" w:space="0"/>
              <w:right w:val="single" w:sz="4" w:color="000000" w:space="0"/>
            </w:tcBorders>
            <w:vAlign w:val="center"/>
            <w:tcW w:w="0" w:type="nil"/>
          </w:tcPr>
          <w:p>
            <w:pPr>
              <w:pStyle w:val=""/>
              <w:jc w:val="center"/>
            </w:pPr>
            <w:r>
              <w:rPr>
                <w:color w:val="000000"/>
                <w:rFonts w:ascii="宋体" w:hAnsi="宋体"/>
                <w:sz w:val="24"/>
                <w:szCs w:val="24"/>
              </w:rPr>
              <w:t>验收合格</w:t>
            </w:r>
          </w:p>
        </w:tc>
      </w:tr>
      <w:tr>
        <w:trPr>
          <w:trHeight w:val="626" w:hRule="atLeast"/>
        </w:trPr>
        <w:tc>
          <w:tcPr>
            <w:vMerge/>
            <w:tcBorders>
              <w:top w:val="single" w:sz="4" w:color="000000" w:space="0"/>
              <w:bottom w:val="single" w:sz="4" w:color="000000" w:space="0"/>
              <w:left w:val="single" w:sz="4" w:color="000000" w:space="0"/>
              <w:right w:val="single" w:sz="4" w:color="000000" w:space="0"/>
            </w:tcBorders>
          </w:tcPr>
          <w:p/>
        </w:tc>
        <w:tc>
          <w:tcPr>
            <w:vMerge/>
            <w:tcBorders>
              <w:top w:val="single" w:sz="4" w:color="000000" w:space="0"/>
              <w:bottom w:val="single" w:sz="4" w:color="000000" w:space="0"/>
              <w:left w:val="single" w:sz="4" w:color="000000" w:space="0"/>
              <w:right w:val="single" w:sz="4" w:color="000000" w:space="0"/>
            </w:tcBorders>
          </w:tcPr>
          <w:p/>
        </w:tc>
        <w:tc>
          <w:tcPr>
            <w:tcBorders>
              <w:top w:val="single" w:sz="4" w:color="000000" w:space="0"/>
              <w:bottom w:val="single" w:sz="4" w:color="000000" w:space="0"/>
              <w:left w:val="single" w:sz="4" w:color="000000" w:space="0"/>
              <w:right w:val="single" w:sz="4" w:color="000000" w:space="0"/>
            </w:tcBorders>
            <w:vAlign w:val="center"/>
            <w:tcW w:w="0" w:type="nil"/>
          </w:tcPr>
          <w:p>
            <w:pPr>
              <w:pStyle w:val=""/>
              <w:jc w:val="center"/>
            </w:pPr>
            <w:r>
              <w:rPr>
                <w:color w:val="000000"/>
                <w:rFonts w:ascii="宋体" w:hAnsi="宋体"/>
                <w:sz w:val="24"/>
                <w:szCs w:val="24"/>
              </w:rPr>
              <w:t>时效指标</w:t>
            </w:r>
          </w:p>
        </w:tc>
        <w:tc>
          <w:tcPr>
            <w:tcBorders>
              <w:top w:val="single" w:sz="4" w:color="000000" w:space="0"/>
              <w:bottom w:val="single" w:sz="4" w:color="000000" w:space="0"/>
              <w:left w:val="single" w:sz="4" w:color="000000" w:space="0"/>
              <w:right w:val="single" w:sz="4" w:color="000000" w:space="0"/>
            </w:tcBorders>
            <w:vAlign w:val="center"/>
            <w:tcW w:w="0" w:type="nil"/>
          </w:tcPr>
          <w:p>
            <w:pPr>
              <w:pStyle w:val=""/>
              <w:jc w:val="center"/>
            </w:pPr>
            <w:r>
              <w:rPr>
                <w:color w:val="000000"/>
                <w:rFonts w:ascii="宋体" w:hAnsi="宋体"/>
                <w:sz w:val="24"/>
                <w:szCs w:val="24"/>
              </w:rPr>
              <w:t>2023年底前完成项目验收支付</w:t>
            </w:r>
          </w:p>
        </w:tc>
        <w:tc>
          <w:tcPr>
            <w:gridSpan w:val="2"/>
            <w:tcBorders>
              <w:top w:val="single" w:sz="4" w:color="000000" w:space="0"/>
              <w:bottom w:val="single" w:sz="4" w:color="000000" w:space="0"/>
              <w:left w:val="single" w:sz="4" w:color="000000" w:space="0"/>
              <w:right w:val="single" w:sz="4" w:color="000000" w:space="0"/>
            </w:tcBorders>
            <w:vAlign w:val="center"/>
            <w:tcW w:w="0" w:type="nil"/>
          </w:tcPr>
          <w:p>
            <w:pPr>
              <w:pStyle w:val=""/>
              <w:jc w:val="center"/>
            </w:pPr>
            <w:r>
              <w:rPr>
                <w:color w:val="000000"/>
                <w:rFonts w:ascii="宋体" w:hAnsi="宋体"/>
                <w:sz w:val="24"/>
                <w:szCs w:val="24"/>
              </w:rPr>
              <w:t>年底前完成</w:t>
            </w:r>
          </w:p>
        </w:tc>
      </w:tr>
      <w:tr>
        <w:trPr>
          <w:trHeight w:val="546" w:hRule="atLeast"/>
        </w:trPr>
        <w:tc>
          <w:tcPr>
            <w:vMerge/>
            <w:tcBorders>
              <w:top w:val="single" w:sz="4" w:color="000000" w:space="0"/>
              <w:bottom w:val="single" w:sz="4" w:color="000000" w:space="0"/>
              <w:left w:val="single" w:sz="4" w:color="000000" w:space="0"/>
              <w:right w:val="single" w:sz="4" w:color="000000" w:space="0"/>
            </w:tcBorders>
          </w:tcPr>
          <w:p/>
        </w:tc>
        <w:tc>
          <w:tcPr>
            <w:vMerge/>
            <w:tcBorders>
              <w:top w:val="single" w:sz="4" w:color="000000" w:space="0"/>
              <w:bottom w:val="single" w:sz="4" w:color="000000" w:space="0"/>
              <w:left w:val="single" w:sz="4" w:color="000000" w:space="0"/>
              <w:right w:val="single" w:sz="4" w:color="000000" w:space="0"/>
            </w:tcBorders>
          </w:tcPr>
          <w:p/>
        </w:tc>
        <w:tc>
          <w:tcPr>
            <w:tcBorders>
              <w:top w:val="nil" w:sz="0" w:color="auto" w:space="0"/>
              <w:bottom w:val="nil" w:sz="0" w:color="auto" w:space="0"/>
              <w:left w:val="nil" w:sz="0" w:color="auto" w:space="0"/>
              <w:right w:val="nil" w:sz="0" w:color="auto" w:space="0"/>
            </w:tcBorders>
            <w:vAlign w:val="center"/>
            <w:tcW w:w="0" w:type="nil"/>
          </w:tcPr>
          <w:p>
            <w:pPr>
              <w:pStyle w:val=""/>
              <w:jc w:val="left"/>
            </w:pPr>
            <w:r>
              <w:rPr>
                <w:color w:val="000000"/>
                <w:rFonts w:ascii="宋体" w:hAnsi="宋体"/>
                <w:sz w:val="22"/>
                <w:szCs w:val="22"/>
              </w:rPr>
              <w:t>成本指标</w:t>
            </w:r>
          </w:p>
        </w:tc>
        <w:tc>
          <w:tcPr>
            <w:tcBorders>
              <w:top w:val="single" w:sz="4" w:color="000000" w:space="0"/>
              <w:bottom w:val="single" w:sz="4" w:color="000000" w:space="0"/>
              <w:left w:val="single" w:sz="4" w:color="000000" w:space="0"/>
              <w:right w:val="single" w:sz="4" w:color="000000" w:space="0"/>
            </w:tcBorders>
            <w:vAlign w:val="center"/>
            <w:tcW w:w="0" w:type="nil"/>
          </w:tcPr>
          <w:p>
            <w:pPr>
              <w:pStyle w:val=""/>
              <w:jc w:val="both"/>
            </w:pPr>
          </w:p>
        </w:tc>
        <w:tc>
          <w:tcPr>
            <w:gridSpan w:val="2"/>
            <w:tcBorders>
              <w:top w:val="single" w:sz="4" w:color="000000" w:space="0"/>
              <w:bottom w:val="single" w:sz="4" w:color="000000" w:space="0"/>
              <w:left w:val="single" w:sz="4" w:color="000000" w:space="0"/>
              <w:right w:val="single" w:sz="4" w:color="000000" w:space="0"/>
            </w:tcBorders>
            <w:vAlign w:val="center"/>
            <w:tcW w:w="0" w:type="nil"/>
          </w:tcPr>
          <w:p>
            <w:pPr>
              <w:pStyle w:val=""/>
              <w:jc w:val="center"/>
            </w:pPr>
          </w:p>
        </w:tc>
      </w:tr>
      <w:tr>
        <w:trPr>
          <w:trHeight w:val="646" w:hRule="atLeast"/>
        </w:trPr>
        <w:tc>
          <w:tcPr>
            <w:vMerge/>
            <w:tcBorders>
              <w:top w:val="single" w:sz="4" w:color="000000" w:space="0"/>
              <w:bottom w:val="single" w:sz="4" w:color="000000" w:space="0"/>
              <w:left w:val="single" w:sz="4" w:color="000000" w:space="0"/>
              <w:right w:val="single" w:sz="4" w:color="000000" w:space="0"/>
            </w:tcBorders>
          </w:tcPr>
          <w:p/>
        </w:tc>
        <w:tc>
          <w:tcPr>
            <w:tcBorders>
              <w:top w:val="single" w:sz="4" w:color="000000" w:space="0"/>
              <w:bottom w:val="single" w:sz="4" w:color="000000" w:space="0"/>
              <w:left w:val="single" w:sz="4" w:color="000000" w:space="0"/>
              <w:right w:val="single" w:sz="4" w:color="000000" w:space="0"/>
            </w:tcBorders>
            <w:vAlign w:val="center"/>
            <w:vMerge w:val="restart"/>
            <w:tcW w:w="0" w:type="nil"/>
          </w:tcPr>
          <w:p>
            <w:pPr>
              <w:pStyle w:val=""/>
              <w:jc w:val="center"/>
            </w:pPr>
            <w:r>
              <w:rPr>
                <w:color w:val="000000"/>
                <w:rFonts w:ascii="宋体" w:hAnsi="宋体"/>
                <w:sz w:val="24"/>
                <w:szCs w:val="24"/>
              </w:rPr>
              <w:t>效</w:t>
            </w:r>
            <w:r>
              <w:rPr>
                <w:color w:val="000000"/>
                <w:rFonts w:ascii="宋体" w:hAnsi="宋体"/>
                <w:sz w:val="24"/>
                <w:szCs w:val="24"/>
              </w:rPr>
              <w:t> </w:t>
            </w:r>
            <w:r>
              <w:rPr>
                <w:color w:val="000000"/>
                <w:rFonts w:ascii="宋体" w:hAnsi="宋体"/>
                <w:sz w:val="24"/>
                <w:szCs w:val="24"/>
              </w:rPr>
              <w:t>益</w:t>
            </w:r>
            <w:r>
              <w:rPr>
                <w:color w:val="000000"/>
                <w:rFonts w:ascii="宋体" w:hAnsi="宋体"/>
                <w:sz w:val="24"/>
                <w:szCs w:val="24"/>
              </w:rPr>
              <w:t> </w:t>
            </w:r>
            <w:r>
              <w:rPr>
                <w:color w:val="000000"/>
                <w:rFonts w:ascii="宋体" w:hAnsi="宋体"/>
                <w:sz w:val="24"/>
                <w:szCs w:val="24"/>
              </w:rPr>
              <w:t>指</w:t>
            </w:r>
            <w:r>
              <w:rPr>
                <w:color w:val="000000"/>
                <w:rFonts w:ascii="宋体" w:hAnsi="宋体"/>
                <w:sz w:val="24"/>
                <w:szCs w:val="24"/>
              </w:rPr>
              <w:t> </w:t>
            </w:r>
            <w:r>
              <w:rPr>
                <w:color w:val="000000"/>
                <w:rFonts w:ascii="宋体" w:hAnsi="宋体"/>
                <w:sz w:val="24"/>
                <w:szCs w:val="24"/>
              </w:rPr>
              <w:t>标</w:t>
            </w:r>
          </w:p>
        </w:tc>
        <w:tc>
          <w:tcPr>
            <w:tcBorders>
              <w:top w:val="single" w:sz="4" w:color="000000" w:space="0"/>
              <w:bottom w:val="single" w:sz="4" w:color="000000" w:space="0"/>
              <w:left w:val="single" w:sz="4" w:color="000000" w:space="0"/>
              <w:right w:val="single" w:sz="4" w:color="000000" w:space="0"/>
            </w:tcBorders>
            <w:vAlign w:val="center"/>
            <w:tcW w:w="0" w:type="nil"/>
          </w:tcPr>
          <w:p>
            <w:pPr>
              <w:pStyle w:val=""/>
              <w:jc w:val="center"/>
            </w:pPr>
            <w:r>
              <w:rPr>
                <w:color w:val="000000"/>
                <w:rFonts w:ascii="宋体" w:hAnsi="宋体"/>
                <w:sz w:val="24"/>
                <w:szCs w:val="24"/>
              </w:rPr>
              <w:t>经济效益</w:t>
            </w:r>
            <w:r>
              <w:rPr>
                <w:color w:val="000000"/>
                <w:rFonts w:ascii="宋体" w:hAnsi="宋体"/>
                <w:sz w:val="24"/>
                <w:szCs w:val="24"/>
              </w:rPr>
              <w:t> </w:t>
            </w:r>
            <w:r>
              <w:rPr>
                <w:color w:val="000000"/>
                <w:rFonts w:ascii="宋体" w:hAnsi="宋体"/>
                <w:sz w:val="24"/>
                <w:szCs w:val="24"/>
              </w:rPr>
              <w:t>指标</w:t>
            </w:r>
          </w:p>
        </w:tc>
        <w:tc>
          <w:tcPr>
            <w:tcBorders>
              <w:top w:val="single" w:sz="4" w:color="000000" w:space="0"/>
              <w:bottom w:val="single" w:sz="4" w:color="000000" w:space="0"/>
              <w:left w:val="single" w:sz="4" w:color="000000" w:space="0"/>
              <w:right w:val="single" w:sz="4" w:color="000000" w:space="0"/>
            </w:tcBorders>
            <w:vAlign w:val="center"/>
            <w:tcW w:w="0" w:type="nil"/>
          </w:tcPr>
          <w:p>
            <w:pPr>
              <w:pStyle w:val=""/>
              <w:jc w:val="center"/>
            </w:pPr>
          </w:p>
        </w:tc>
        <w:tc>
          <w:tcPr>
            <w:gridSpan w:val="2"/>
            <w:tcBorders>
              <w:top w:val="single" w:sz="4" w:color="000000" w:space="0"/>
              <w:bottom w:val="single" w:sz="4" w:color="000000" w:space="0"/>
              <w:left w:val="single" w:sz="4" w:color="000000" w:space="0"/>
              <w:right w:val="single" w:sz="4" w:color="000000" w:space="0"/>
            </w:tcBorders>
            <w:vAlign w:val="center"/>
            <w:tcW w:w="0" w:type="nil"/>
          </w:tcPr>
          <w:p>
            <w:pPr>
              <w:pStyle w:val=""/>
              <w:jc w:val="center"/>
            </w:pPr>
          </w:p>
        </w:tc>
      </w:tr>
      <w:tr>
        <w:trPr>
          <w:trHeight w:val="785" w:hRule="atLeast"/>
        </w:trPr>
        <w:tc>
          <w:tcPr>
            <w:vMerge/>
            <w:tcBorders>
              <w:top w:val="single" w:sz="4" w:color="000000" w:space="0"/>
              <w:bottom w:val="single" w:sz="4" w:color="000000" w:space="0"/>
              <w:left w:val="single" w:sz="4" w:color="000000" w:space="0"/>
              <w:right w:val="single" w:sz="4" w:color="000000" w:space="0"/>
            </w:tcBorders>
          </w:tcPr>
          <w:p/>
        </w:tc>
        <w:tc>
          <w:tcPr>
            <w:vMerge/>
            <w:tcBorders>
              <w:top w:val="single" w:sz="4" w:color="000000" w:space="0"/>
              <w:bottom w:val="single" w:sz="4" w:color="000000" w:space="0"/>
              <w:left w:val="single" w:sz="4" w:color="000000" w:space="0"/>
              <w:right w:val="single" w:sz="4" w:color="000000" w:space="0"/>
            </w:tcBorders>
          </w:tcPr>
          <w:p/>
        </w:tc>
        <w:tc>
          <w:tcPr>
            <w:tcBorders>
              <w:top w:val="single" w:sz="4" w:color="000000" w:space="0"/>
              <w:bottom w:val="single" w:sz="4" w:color="000000" w:space="0"/>
              <w:left w:val="single" w:sz="4" w:color="000000" w:space="0"/>
              <w:right w:val="single" w:sz="4" w:color="000000" w:space="0"/>
            </w:tcBorders>
            <w:vAlign w:val="center"/>
            <w:tcW w:w="0" w:type="nil"/>
          </w:tcPr>
          <w:p>
            <w:pPr>
              <w:pStyle w:val=""/>
              <w:jc w:val="center"/>
            </w:pPr>
            <w:r>
              <w:rPr>
                <w:color w:val="000000"/>
                <w:rFonts w:ascii="宋体" w:hAnsi="宋体"/>
                <w:sz w:val="24"/>
                <w:szCs w:val="24"/>
              </w:rPr>
              <w:t>社会效益</w:t>
            </w:r>
            <w:r>
              <w:rPr>
                <w:color w:val="000000"/>
                <w:rFonts w:ascii="宋体" w:hAnsi="宋体"/>
                <w:sz w:val="24"/>
                <w:szCs w:val="24"/>
              </w:rPr>
              <w:t> </w:t>
            </w:r>
            <w:r>
              <w:rPr>
                <w:color w:val="000000"/>
                <w:rFonts w:ascii="宋体" w:hAnsi="宋体"/>
                <w:sz w:val="24"/>
                <w:szCs w:val="24"/>
              </w:rPr>
              <w:t>指标</w:t>
            </w:r>
          </w:p>
        </w:tc>
        <w:tc>
          <w:tcPr>
            <w:tcBorders>
              <w:top w:val="single" w:sz="4" w:color="000000" w:space="0"/>
              <w:bottom w:val="single" w:sz="4" w:color="000000" w:space="0"/>
              <w:left w:val="single" w:sz="4" w:color="000000" w:space="0"/>
              <w:right w:val="single" w:sz="4" w:color="000000" w:space="0"/>
            </w:tcBorders>
            <w:vAlign w:val="center"/>
            <w:tcW w:w="0" w:type="nil"/>
          </w:tcPr>
          <w:p>
            <w:pPr>
              <w:pStyle w:val=""/>
              <w:jc w:val="center"/>
            </w:pPr>
          </w:p>
        </w:tc>
        <w:tc>
          <w:tcPr>
            <w:gridSpan w:val="2"/>
            <w:tcBorders>
              <w:top w:val="single" w:sz="4" w:color="000000" w:space="0"/>
              <w:bottom w:val="single" w:sz="4" w:color="000000" w:space="0"/>
              <w:left w:val="single" w:sz="4" w:color="000000" w:space="0"/>
              <w:right w:val="single" w:sz="4" w:color="000000" w:space="0"/>
            </w:tcBorders>
            <w:vAlign w:val="center"/>
            <w:tcW w:w="0" w:type="nil"/>
          </w:tcPr>
          <w:p>
            <w:pPr>
              <w:pStyle w:val=""/>
              <w:jc w:val="center"/>
            </w:pPr>
          </w:p>
        </w:tc>
      </w:tr>
      <w:tr>
        <w:trPr>
          <w:trHeight w:val="904" w:hRule="atLeast"/>
        </w:trPr>
        <w:tc>
          <w:tcPr>
            <w:vMerge/>
            <w:tcBorders>
              <w:top w:val="single" w:sz="4" w:color="000000" w:space="0"/>
              <w:bottom w:val="single" w:sz="4" w:color="000000" w:space="0"/>
              <w:left w:val="single" w:sz="4" w:color="000000" w:space="0"/>
              <w:right w:val="single" w:sz="4" w:color="000000" w:space="0"/>
            </w:tcBorders>
          </w:tcPr>
          <w:p/>
        </w:tc>
        <w:tc>
          <w:tcPr>
            <w:vMerge/>
            <w:tcBorders>
              <w:top w:val="single" w:sz="4" w:color="000000" w:space="0"/>
              <w:bottom w:val="single" w:sz="4" w:color="000000" w:space="0"/>
              <w:left w:val="single" w:sz="4" w:color="000000" w:space="0"/>
              <w:right w:val="single" w:sz="4" w:color="000000" w:space="0"/>
            </w:tcBorders>
          </w:tcPr>
          <w:p/>
        </w:tc>
        <w:tc>
          <w:tcPr>
            <w:tcBorders>
              <w:top w:val="single" w:sz="4" w:color="000000" w:space="0"/>
              <w:bottom w:val="single" w:sz="4" w:color="000000" w:space="0"/>
              <w:left w:val="single" w:sz="4" w:color="000000" w:space="0"/>
              <w:right w:val="single" w:sz="4" w:color="000000" w:space="0"/>
            </w:tcBorders>
            <w:vAlign w:val="center"/>
            <w:tcW w:w="0" w:type="nil"/>
          </w:tcPr>
          <w:p>
            <w:pPr>
              <w:pStyle w:val=""/>
              <w:jc w:val="center"/>
            </w:pPr>
            <w:r>
              <w:rPr>
                <w:color w:val="000000"/>
                <w:rFonts w:ascii="宋体" w:hAnsi="宋体"/>
                <w:sz w:val="24"/>
                <w:szCs w:val="24"/>
              </w:rPr>
              <w:t>生态效益</w:t>
            </w:r>
            <w:r>
              <w:rPr>
                <w:color w:val="000000"/>
                <w:rFonts w:ascii="宋体" w:hAnsi="宋体"/>
                <w:sz w:val="24"/>
                <w:szCs w:val="24"/>
              </w:rPr>
              <w:t> </w:t>
            </w:r>
            <w:r>
              <w:rPr>
                <w:color w:val="000000"/>
                <w:rFonts w:ascii="宋体" w:hAnsi="宋体"/>
                <w:sz w:val="24"/>
                <w:szCs w:val="24"/>
              </w:rPr>
              <w:t>指标</w:t>
            </w:r>
          </w:p>
        </w:tc>
        <w:tc>
          <w:tcPr>
            <w:tcBorders>
              <w:top w:val="single" w:sz="4" w:color="000000" w:space="0"/>
              <w:bottom w:val="single" w:sz="4" w:color="000000" w:space="0"/>
              <w:left w:val="single" w:sz="4" w:color="000000" w:space="0"/>
              <w:right w:val="single" w:sz="4" w:color="000000" w:space="0"/>
            </w:tcBorders>
            <w:vAlign w:val="center"/>
            <w:tcW w:w="0" w:type="nil"/>
          </w:tcPr>
          <w:p>
            <w:pPr>
              <w:pStyle w:val=""/>
              <w:jc w:val="center"/>
            </w:pPr>
            <w:r>
              <w:rPr>
                <w:color w:val="000000"/>
                <w:rFonts w:ascii="宋体" w:hAnsi="宋体"/>
                <w:sz w:val="24"/>
                <w:szCs w:val="24"/>
              </w:rPr>
              <w:t>农村人居环境有所改善</w:t>
            </w:r>
          </w:p>
        </w:tc>
        <w:tc>
          <w:tcPr>
            <w:gridSpan w:val="2"/>
            <w:tcBorders>
              <w:top w:val="single" w:sz="4" w:color="000000" w:space="0"/>
              <w:bottom w:val="single" w:sz="4" w:color="000000" w:space="0"/>
              <w:left w:val="single" w:sz="4" w:color="000000" w:space="0"/>
              <w:right w:val="single" w:sz="4" w:color="000000" w:space="0"/>
            </w:tcBorders>
            <w:vAlign w:val="center"/>
            <w:tcW w:w="0" w:type="nil"/>
          </w:tcPr>
          <w:p>
            <w:pPr>
              <w:pStyle w:val=""/>
              <w:jc w:val="center"/>
            </w:pPr>
            <w:r>
              <w:rPr>
                <w:color w:val="000000"/>
                <w:rFonts w:ascii="宋体" w:hAnsi="宋体"/>
                <w:sz w:val="24"/>
                <w:szCs w:val="24"/>
              </w:rPr>
              <w:t>有所改善</w:t>
            </w:r>
          </w:p>
        </w:tc>
      </w:tr>
      <w:tr>
        <w:trPr>
          <w:trHeight w:val="630" w:hRule="atLeast"/>
        </w:trPr>
        <w:tc>
          <w:tcPr>
            <w:vMerge/>
            <w:tcBorders>
              <w:top w:val="single" w:sz="4" w:color="000000" w:space="0"/>
              <w:bottom w:val="single" w:sz="4" w:color="000000" w:space="0"/>
              <w:left w:val="single" w:sz="4" w:color="000000" w:space="0"/>
              <w:right w:val="single" w:sz="4" w:color="000000" w:space="0"/>
            </w:tcBorders>
          </w:tcPr>
          <w:p/>
        </w:tc>
        <w:tc>
          <w:tcPr>
            <w:vMerge/>
            <w:tcBorders>
              <w:top w:val="single" w:sz="4" w:color="000000" w:space="0"/>
              <w:bottom w:val="single" w:sz="4" w:color="000000" w:space="0"/>
              <w:left w:val="single" w:sz="4" w:color="000000" w:space="0"/>
              <w:right w:val="single" w:sz="4" w:color="000000" w:space="0"/>
            </w:tcBorders>
          </w:tcPr>
          <w:p/>
        </w:tc>
        <w:tc>
          <w:tcPr>
            <w:tcBorders>
              <w:top w:val="single" w:sz="4" w:color="000000" w:space="0"/>
              <w:bottom w:val="single" w:sz="4" w:color="000000" w:space="0"/>
              <w:left w:val="single" w:sz="4" w:color="000000" w:space="0"/>
              <w:right w:val="single" w:sz="4" w:color="000000" w:space="0"/>
            </w:tcBorders>
            <w:vAlign w:val="center"/>
            <w:tcW w:w="0" w:type="nil"/>
          </w:tcPr>
          <w:p>
            <w:pPr>
              <w:pStyle w:val=""/>
              <w:jc w:val="center"/>
            </w:pPr>
            <w:r>
              <w:rPr>
                <w:color w:val="000000"/>
                <w:rFonts w:ascii="宋体" w:hAnsi="宋体"/>
                <w:sz w:val="24"/>
                <w:szCs w:val="24"/>
              </w:rPr>
              <w:t>可持续影响</w:t>
            </w:r>
            <w:r>
              <w:rPr>
                <w:color w:val="000000"/>
                <w:rFonts w:ascii="宋体" w:hAnsi="宋体"/>
                <w:sz w:val="24"/>
                <w:szCs w:val="24"/>
              </w:rPr>
              <w:t> </w:t>
            </w:r>
            <w:r>
              <w:rPr>
                <w:color w:val="000000"/>
                <w:rFonts w:ascii="宋体" w:hAnsi="宋体"/>
                <w:sz w:val="24"/>
                <w:szCs w:val="24"/>
              </w:rPr>
              <w:t>指标</w:t>
            </w:r>
          </w:p>
        </w:tc>
        <w:tc>
          <w:tcPr>
            <w:tcBorders>
              <w:top w:val="single" w:sz="4" w:color="000000" w:space="0"/>
              <w:bottom w:val="single" w:sz="4" w:color="000000" w:space="0"/>
              <w:left w:val="single" w:sz="4" w:color="000000" w:space="0"/>
              <w:right w:val="single" w:sz="4" w:color="000000" w:space="0"/>
            </w:tcBorders>
            <w:vAlign w:val="center"/>
            <w:tcW w:w="0" w:type="nil"/>
          </w:tcPr>
          <w:p>
            <w:pPr>
              <w:pStyle w:val=""/>
              <w:jc w:val="center"/>
            </w:pPr>
          </w:p>
        </w:tc>
        <w:tc>
          <w:tcPr>
            <w:gridSpan w:val="2"/>
            <w:tcBorders>
              <w:top w:val="single" w:sz="4" w:color="000000" w:space="0"/>
              <w:bottom w:val="single" w:sz="4" w:color="000000" w:space="0"/>
              <w:left w:val="single" w:sz="4" w:color="000000" w:space="0"/>
              <w:right w:val="single" w:sz="4" w:color="000000" w:space="0"/>
            </w:tcBorders>
            <w:vAlign w:val="center"/>
            <w:tcW w:w="0" w:type="nil"/>
          </w:tcPr>
          <w:p>
            <w:pPr>
              <w:pStyle w:val=""/>
              <w:jc w:val="center"/>
            </w:pPr>
          </w:p>
        </w:tc>
      </w:tr>
      <w:tr>
        <w:trPr>
          <w:trHeight w:val="874" w:hRule="atLeast"/>
        </w:trPr>
        <w:tc>
          <w:tcPr>
            <w:vMerge/>
            <w:tcBorders>
              <w:top w:val="single" w:sz="4" w:color="000000" w:space="0"/>
              <w:bottom w:val="single" w:sz="4" w:color="000000" w:space="0"/>
              <w:left w:val="single" w:sz="4" w:color="000000" w:space="0"/>
              <w:right w:val="single" w:sz="4" w:color="000000" w:space="0"/>
            </w:tcBorders>
          </w:tcPr>
          <w:p/>
        </w:tc>
        <w:tc>
          <w:tcPr>
            <w:tcBorders>
              <w:top w:val="single" w:sz="4" w:color="000000" w:space="0"/>
              <w:bottom w:val="single" w:sz="4" w:color="000000" w:space="0"/>
              <w:left w:val="single" w:sz="4" w:color="000000" w:space="0"/>
              <w:right w:val="single" w:sz="4" w:color="000000" w:space="0"/>
            </w:tcBorders>
            <w:vAlign w:val="center"/>
            <w:tcW w:w="0" w:type="nil"/>
          </w:tcPr>
          <w:p>
            <w:pPr>
              <w:pStyle w:val=""/>
              <w:jc w:val="center"/>
            </w:pPr>
            <w:r>
              <w:rPr>
                <w:color w:val="000000"/>
                <w:rFonts w:ascii="宋体" w:hAnsi="宋体"/>
                <w:sz w:val="24"/>
                <w:szCs w:val="24"/>
              </w:rPr>
              <w:t>满意度指标</w:t>
            </w:r>
          </w:p>
        </w:tc>
        <w:tc>
          <w:tcPr>
            <w:tcBorders>
              <w:top w:val="single" w:sz="4" w:color="000000" w:space="0"/>
              <w:bottom w:val="single" w:sz="4" w:color="000000" w:space="0"/>
              <w:left w:val="single" w:sz="4" w:color="000000" w:space="0"/>
              <w:right w:val="single" w:sz="4" w:color="000000" w:space="0"/>
            </w:tcBorders>
            <w:vAlign w:val="center"/>
            <w:tcW w:w="0" w:type="nil"/>
          </w:tcPr>
          <w:p>
            <w:pPr>
              <w:pStyle w:val=""/>
              <w:jc w:val="center"/>
            </w:pPr>
            <w:r>
              <w:rPr>
                <w:color w:val="000000"/>
                <w:rFonts w:ascii="宋体" w:hAnsi="宋体"/>
                <w:sz w:val="24"/>
                <w:szCs w:val="24"/>
              </w:rPr>
              <w:t>服务对象</w:t>
            </w:r>
            <w:r>
              <w:rPr>
                <w:color w:val="000000"/>
                <w:rFonts w:ascii="宋体" w:hAnsi="宋体"/>
                <w:sz w:val="24"/>
                <w:szCs w:val="24"/>
              </w:rPr>
              <w:t> </w:t>
            </w:r>
            <w:r>
              <w:rPr>
                <w:color w:val="000000"/>
                <w:rFonts w:ascii="宋体" w:hAnsi="宋体"/>
                <w:sz w:val="24"/>
                <w:szCs w:val="24"/>
              </w:rPr>
              <w:t>满意度指标</w:t>
            </w:r>
          </w:p>
        </w:tc>
        <w:tc>
          <w:tcPr>
            <w:tcBorders>
              <w:top w:val="single" w:sz="4" w:color="000000" w:space="0"/>
              <w:bottom w:val="single" w:sz="4" w:color="000000" w:space="0"/>
              <w:left w:val="single" w:sz="4" w:color="000000" w:space="0"/>
              <w:right w:val="single" w:sz="4" w:color="000000" w:space="0"/>
            </w:tcBorders>
            <w:vAlign w:val="center"/>
            <w:tcW w:w="0" w:type="nil"/>
          </w:tcPr>
          <w:p>
            <w:pPr>
              <w:pStyle w:val=""/>
              <w:jc w:val="center"/>
            </w:pPr>
            <w:r>
              <w:rPr>
                <w:color w:val="000000"/>
                <w:rFonts w:ascii="宋体" w:hAnsi="宋体"/>
                <w:sz w:val="24"/>
                <w:szCs w:val="24"/>
              </w:rPr>
              <w:t>辖区内居民满意度</w:t>
            </w:r>
          </w:p>
        </w:tc>
        <w:tc>
          <w:tcPr>
            <w:gridSpan w:val="2"/>
            <w:tcBorders>
              <w:top w:val="single" w:sz="4" w:color="000000" w:space="0"/>
              <w:bottom w:val="single" w:sz="4" w:color="000000" w:space="0"/>
              <w:left w:val="single" w:sz="4" w:color="000000" w:space="0"/>
              <w:right w:val="single" w:sz="4" w:color="000000" w:space="0"/>
            </w:tcBorders>
            <w:vAlign w:val="center"/>
            <w:tcW w:w="0" w:type="nil"/>
          </w:tcPr>
          <w:p>
            <w:pPr>
              <w:pStyle w:val=""/>
              <w:jc w:val="center"/>
            </w:pPr>
            <w:r>
              <w:rPr>
                <w:color w:val="000000"/>
                <w:rFonts w:ascii="宋体" w:hAnsi="宋体"/>
                <w:sz w:val="24"/>
                <w:szCs w:val="24"/>
              </w:rPr>
              <w:t>≧98%</w:t>
            </w:r>
          </w:p>
        </w:tc>
      </w:tr>
    </w:tbl>
    <w:p>
      <w:pPr>
        <w:pStyle w:val=""/>
        <w:jc w:val="both"/>
        <w:spacing w:line="600" w:lineRule="exact"/>
        <w:rPr>
          <w:color w:val="000000"/>
          <w:rFonts w:ascii="仿宋" w:hAnsi="仿宋"/>
          <w:sz w:val="32"/>
          <w:szCs w:val="32"/>
          <w:shd w:fill="FFFFFF"/>
        </w:rPr>
      </w:pPr>
    </w:p>
    <w:p>
      <w:pPr>
        <w:pStyle w:val=""/>
        <w:jc w:val="both"/>
        <w:ind w:firstLine="800"/>
        <w:spacing w:line="560" w:lineRule="exact"/>
        <w:rPr>
          <w:color w:val="000000"/>
          <w:rFonts w:ascii="Times New Roman" w:hAnsi="Times New Roman"/>
          <w:sz w:val="21"/>
          <w:szCs w:val="21"/>
        </w:rPr>
      </w:pPr>
      <w:r>
        <w:rPr>
          <w:b/>
          <w:color w:val="000000"/>
          <w:rFonts w:ascii="仿宋" w:hAnsi="仿宋"/>
          <w:sz w:val="32"/>
          <w:szCs w:val="32"/>
          <w:shd w:fill="FFFFFF"/>
        </w:rPr>
        <w:t>2.“</w:t>
      </w:r>
      <w:r>
        <w:rPr>
          <w:color w:val="000000"/>
          <w:rFonts w:ascii="仿宋" w:hAnsi="仿宋"/>
          <w:sz w:val="32"/>
          <w:szCs w:val="32"/>
          <w:shd w:fill="FFFFFF"/>
        </w:rPr>
        <w:t>政策性农业保险</w:t>
      </w:r>
      <w:r>
        <w:rPr>
          <w:b/>
          <w:color w:val="000000"/>
          <w:rFonts w:ascii="仿宋" w:hAnsi="仿宋"/>
          <w:sz w:val="32"/>
          <w:szCs w:val="32"/>
          <w:shd w:fill="FFFFFF"/>
        </w:rPr>
        <w:t>”项目。</w:t>
      </w:r>
    </w:p>
    <w:p>
      <w:pPr>
        <w:pStyle w:val=""/>
        <w:ind w:firstLine="627"/>
        <w:spacing w:line="560" w:lineRule="exact"/>
        <w:rPr>
          <w:color w:val="000000"/>
          <w:rFonts w:ascii="Times New Roman" w:hAnsi="Times New Roman"/>
          <w:szCs w:val="21"/>
        </w:rPr>
      </w:pPr>
      <w:r>
        <w:rPr>
          <w:color w:val="000000"/>
          <w:rFonts w:ascii="仿宋_GB2312" w:hAnsi="仿宋"/>
          <w:sz w:val="32"/>
          <w:szCs w:val="32"/>
          <w:shd w:fill="FFFFFF"/>
        </w:rPr>
        <w:t>（</w:t>
      </w:r>
      <w:r>
        <w:rPr>
          <w:color w:val="000000"/>
          <w:rFonts w:ascii="仿宋" w:hAnsi="仿宋"/>
          <w:sz w:val="32"/>
          <w:szCs w:val="32"/>
          <w:shd w:fill="FFFFFF"/>
        </w:rPr>
        <w:t>1）项目概述。</w:t>
      </w:r>
      <w:r>
        <w:rPr>
          <w:color w:val="000000"/>
          <w:rFonts w:ascii="仿宋_GB2312" w:hAnsi="仿宋"/>
          <w:sz w:val="32"/>
          <w:szCs w:val="32"/>
        </w:rPr>
        <w:t>通过实施财政保费补贴政策，引导和鼓励农户特别是适度规模经营主体积极参保，做到“愿保尽保”；通过加强督导调度和绩效管理等，着力提高理赔兑现率、时效性和精准性，切实发挥政策性农业保险“稳定器”和“助推器”作用。</w:t>
      </w:r>
    </w:p>
    <w:p>
      <w:pPr>
        <w:pStyle w:val=""/>
        <w:jc w:val="both"/>
        <w:ind w:firstLine="585"/>
        <w:spacing w:line="560" w:lineRule="exact"/>
        <w:rPr>
          <w:color w:val="000000"/>
          <w:rFonts w:ascii="仿宋_GB2312" w:hAnsi="仿宋"/>
          <w:sz w:val="32"/>
          <w:szCs w:val="32"/>
        </w:rPr>
      </w:pPr>
      <w:r>
        <w:rPr>
          <w:color w:val="000000"/>
          <w:rFonts w:ascii="仿宋_GB2312" w:hAnsi="仿宋"/>
          <w:sz w:val="32"/>
          <w:szCs w:val="32"/>
          <w:shd w:fill="FFFFFF"/>
        </w:rPr>
        <w:t>（</w:t>
      </w:r>
      <w:r>
        <w:rPr>
          <w:color w:val="000000"/>
          <w:rFonts w:ascii="仿宋" w:hAnsi="仿宋"/>
          <w:sz w:val="32"/>
          <w:szCs w:val="32"/>
          <w:shd w:fill="FFFFFF"/>
        </w:rPr>
        <w:t>2）立项依据。</w:t>
      </w:r>
      <w:r>
        <w:rPr>
          <w:color w:val="000000"/>
          <w:rFonts w:ascii="仿宋_GB2312" w:hAnsi="仿宋"/>
          <w:sz w:val="32"/>
          <w:szCs w:val="32"/>
        </w:rPr>
        <w:t>《农业保险条例》（国务院令第629号）、《安徽省人民政府办公厅关于印发全省农业保险扩大试点实施方案的通知》（皖政办〔2017〕92号）、安徽省财政厅等五部门《关于印发〈安徽省加快农业保险高质量发展工作方案〉的通知》、《淮北市</w:t>
      </w:r>
      <w:r>
        <w:rPr>
          <w:color w:val="000000"/>
          <w:rFonts w:ascii="仿宋_GB2312" w:hAnsi="仿宋"/>
          <w:sz w:val="32"/>
          <w:szCs w:val="32"/>
        </w:rPr>
        <w:t>2023</w:t>
      </w:r>
      <w:r>
        <w:rPr>
          <w:color w:val="000000"/>
          <w:rFonts w:ascii="仿宋_GB2312" w:hAnsi="仿宋"/>
          <w:sz w:val="32"/>
          <w:szCs w:val="32"/>
        </w:rPr>
        <w:t>年政策性农业保险实施办法》</w:t>
      </w:r>
    </w:p>
    <w:p>
      <w:pPr>
        <w:pStyle w:val=""/>
        <w:jc w:val="both"/>
        <w:ind w:firstLine="585"/>
        <w:spacing w:line="560" w:lineRule="exact"/>
        <w:rPr>
          <w:color w:val="000000"/>
          <w:rFonts w:ascii="Times New Roman" w:hAnsi="Times New Roman"/>
          <w:sz w:val="21"/>
          <w:szCs w:val="21"/>
        </w:rPr>
      </w:pPr>
      <w:r>
        <w:rPr>
          <w:color w:val="000000"/>
          <w:rFonts w:ascii="仿宋_GB2312" w:hAnsi="仿宋"/>
          <w:sz w:val="32"/>
          <w:szCs w:val="32"/>
          <w:shd w:fill="FFFFFF"/>
        </w:rPr>
        <w:t>（</w:t>
      </w:r>
      <w:r>
        <w:rPr>
          <w:color w:val="000000"/>
          <w:rFonts w:ascii="仿宋" w:hAnsi="仿宋"/>
          <w:sz w:val="32"/>
          <w:szCs w:val="32"/>
          <w:shd w:fill="FFFFFF"/>
        </w:rPr>
        <w:t>3）起止时间。</w:t>
      </w:r>
      <w:r>
        <w:rPr>
          <w:color w:val="000000"/>
          <w:rFonts w:ascii="仿宋" w:hAnsi="仿宋"/>
          <w:sz w:val="32"/>
          <w:szCs w:val="32"/>
          <w:shd w:fill="FFFFFF"/>
        </w:rPr>
        <w:t>2023</w:t>
      </w:r>
      <w:r>
        <w:rPr>
          <w:color w:val="000000"/>
          <w:rFonts w:ascii="仿宋" w:hAnsi="仿宋"/>
          <w:sz w:val="32"/>
          <w:szCs w:val="32"/>
          <w:shd w:fill="FFFFFF"/>
        </w:rPr>
        <w:t>年1月-12月</w:t>
      </w:r>
    </w:p>
    <w:p>
      <w:pPr>
        <w:pStyle w:val="HTML"/>
        <w:jc w:val="both"/>
        <w:ind w:firstLine="640"/>
        <w:spacing w:line="560" w:lineRule="exact"/>
        <w:rPr>
          <w:b/>
          <w:color w:val="000000"/>
          <w:rFonts w:ascii="楷体_GB2312" w:hAnsi="仿宋"/>
          <w:sz w:val="32"/>
          <w:szCs w:val="32"/>
        </w:rPr>
      </w:pPr>
      <w:r>
        <w:rPr>
          <w:color w:val="000000"/>
          <w:rFonts w:ascii="仿宋_GB2312" w:hAnsi="仿宋"/>
          <w:sz w:val="32"/>
          <w:szCs w:val="32"/>
          <w:shd w:fill="FFFFFF"/>
        </w:rPr>
        <w:t>（</w:t>
      </w:r>
      <w:r>
        <w:rPr>
          <w:color w:val="000000"/>
          <w:rFonts w:ascii="仿宋" w:hAnsi="仿宋"/>
          <w:sz w:val="32"/>
          <w:szCs w:val="32"/>
          <w:shd w:fill="FFFFFF"/>
        </w:rPr>
        <w:t>4）项目内容。</w:t>
      </w:r>
      <w:r>
        <w:rPr>
          <w:color w:val="000000"/>
          <w:rFonts w:ascii="仿宋_GB2312" w:hAnsi="仿宋"/>
          <w:sz w:val="32"/>
          <w:szCs w:val="32"/>
        </w:rPr>
        <w:t>种植业为小麦、玉米、大豆、花生、芝麻、马铃薯、小麦制种。</w:t>
      </w:r>
    </w:p>
    <w:p>
      <w:pPr>
        <w:pStyle w:val="HTML"/>
        <w:jc w:val="both"/>
        <w:ind w:firstLine="640"/>
        <w:spacing w:line="560" w:lineRule="exact"/>
        <w:rPr>
          <w:color w:val="000000"/>
          <w:rFonts w:ascii="仿宋_GB2312" w:hAnsi="仿宋"/>
          <w:sz w:val="32"/>
          <w:szCs w:val="32"/>
        </w:rPr>
      </w:pPr>
      <w:r>
        <w:rPr>
          <w:color w:val="000000"/>
          <w:rFonts w:ascii="仿宋_GB2312" w:hAnsi="仿宋"/>
          <w:sz w:val="32"/>
          <w:szCs w:val="32"/>
        </w:rPr>
        <w:t>养殖业为能繁母猪、奶牛、育肥猪；森林为生态公益林、商品林。</w:t>
      </w:r>
    </w:p>
    <w:p>
      <w:pPr>
        <w:pStyle w:val=""/>
        <w:jc w:val="both"/>
        <w:ind w:firstLine="642"/>
        <w:spacing w:line="560" w:lineRule="exact"/>
        <w:rPr>
          <w:color w:val="000000"/>
          <w:rFonts w:ascii="仿宋_GB2312" w:hAnsi="仿宋"/>
          <w:sz w:val="32"/>
          <w:szCs w:val="32"/>
        </w:rPr>
      </w:pPr>
      <w:r>
        <w:rPr>
          <w:color w:val="000000"/>
          <w:rFonts w:ascii="仿宋_GB2312" w:hAnsi="仿宋"/>
          <w:sz w:val="32"/>
          <w:szCs w:val="32"/>
        </w:rPr>
        <w:t>地方政策性特色农产品包括规模化种植大棚蔬菜、经济果林（苹果、石榴、桃树、枣树、葡萄）、规模化养殖的肉牛、能繁母羊等8个品种。</w:t>
      </w:r>
    </w:p>
    <w:p>
      <w:pPr>
        <w:pStyle w:val=""/>
        <w:jc w:val="both"/>
        <w:ind w:firstLine="642"/>
        <w:spacing w:line="560" w:lineRule="exact"/>
        <w:rPr>
          <w:color w:val="000000"/>
          <w:rFonts w:ascii="Times New Roman" w:hAnsi="Times New Roman"/>
          <w:sz w:val="21"/>
          <w:szCs w:val="21"/>
        </w:rPr>
      </w:pPr>
      <w:r>
        <w:rPr>
          <w:color w:val="000000"/>
          <w:rFonts w:ascii="仿宋_GB2312" w:hAnsi="仿宋"/>
          <w:sz w:val="32"/>
          <w:szCs w:val="32"/>
          <w:shd w:fill="FFFFFF"/>
        </w:rPr>
        <w:t>（</w:t>
      </w:r>
      <w:r>
        <w:rPr>
          <w:color w:val="000000"/>
          <w:rFonts w:ascii="仿宋" w:hAnsi="仿宋"/>
          <w:sz w:val="32"/>
          <w:szCs w:val="32"/>
          <w:shd w:fill="FFFFFF"/>
        </w:rPr>
        <w:t>5）年度预算安排。区级配套120万元</w:t>
      </w:r>
    </w:p>
    <w:p>
      <w:pPr>
        <w:pStyle w:val=""/>
        <w:jc w:val="both"/>
        <w:ind w:firstLine="640"/>
        <w:spacing w:line="560" w:lineRule="exact"/>
        <w:rPr>
          <w:color w:val="000000"/>
          <w:rFonts w:ascii="Times New Roman" w:hAnsi="Times New Roman"/>
          <w:sz w:val="21"/>
          <w:szCs w:val="21"/>
        </w:rPr>
      </w:pPr>
      <w:r>
        <w:rPr>
          <w:color w:val="000000"/>
          <w:rFonts w:ascii="仿宋_GB2312" w:hAnsi="仿宋"/>
          <w:sz w:val="32"/>
          <w:szCs w:val="32"/>
          <w:shd w:fill="FFFFFF"/>
        </w:rPr>
        <w:t>（</w:t>
      </w:r>
      <w:r>
        <w:rPr>
          <w:color w:val="000000"/>
          <w:rFonts w:ascii="仿宋" w:hAnsi="仿宋"/>
          <w:sz w:val="32"/>
          <w:szCs w:val="32"/>
          <w:shd w:fill="FFFFFF"/>
        </w:rPr>
        <w:t>6）绩效目标和指标。根据上级财政部门要求确定。</w:t>
      </w:r>
    </w:p>
    <w:p>
      <w:pPr>
        <w:pStyle w:val=""/>
        <w:rPr>
          <w:color w:val="000000"/>
        </w:rPr>
      </w:pPr>
    </w:p>
    <w:tbl>
      <w:tblPr>
        <w:tblBorders>
          <w:top w:val="nil" w:sz="2" w:color="000000" w:space="0"/>
          <w:bottom w:val="nil" w:sz="2" w:color="000000" w:space="0"/>
          <w:left w:val="nil" w:sz="2" w:color="000000" w:space="0"/>
          <w:right w:val="nil" w:sz="2" w:color="000000" w:space="0"/>
          <w:insideH w:val="nil" w:sz="2" w:color="000000" w:space="0"/>
          <w:insideV w:val="nil" w:sz="2" w:color="000000" w:space="0"/>
        </w:tblBorders>
        <w:tblInd w:w="-15" w:type="dxa"/>
        <w:tblStyle w:val="普通表格"/>
        <w:tblLook w:val="1E0"/>
        <w:tblW w:w="9580" w:type="dxa"/>
      </w:tblPr>
      <w:tblGrid>
        <w:gridCol w:w="1096"/>
        <w:gridCol w:w="840"/>
        <w:gridCol w:w="1392"/>
        <w:gridCol w:w="3057"/>
        <w:gridCol w:w="1704"/>
        <w:gridCol w:w="1491"/>
      </w:tblGrid>
      <w:tr>
        <w:trPr>
          <w:trHeight w:val="613" w:hRule="atLeast"/>
        </w:trPr>
        <w:tc>
          <w:tcPr>
            <w:gridSpan w:val="6"/>
            <w:tcBorders>
              <w:top w:val="nil" w:sz="0" w:color="auto" w:space="0"/>
              <w:bottom w:val="nil" w:sz="0" w:color="auto" w:space="0"/>
              <w:left w:val="nil" w:sz="0" w:color="auto" w:space="0"/>
              <w:right w:val="nil" w:sz="0" w:color="auto" w:space="0"/>
            </w:tcBorders>
            <w:vAlign w:val="center"/>
            <w:tcW w:w="0" w:type="nil"/>
          </w:tcPr>
          <w:p>
            <w:pPr>
              <w:pStyle w:val=""/>
              <w:jc w:val="center"/>
            </w:pPr>
            <w:r>
              <w:rPr>
                <w:b/>
                <w:color w:val="000000"/>
                <w:rFonts w:ascii="宋体" w:hAnsi="宋体"/>
                <w:sz w:val="40"/>
                <w:szCs w:val="40"/>
              </w:rPr>
              <w:t>项目支出绩效目标表</w:t>
            </w:r>
          </w:p>
        </w:tc>
      </w:tr>
      <w:tr>
        <w:trPr>
          <w:trHeight w:val="395" w:hRule="atLeast"/>
        </w:trPr>
        <w:tc>
          <w:tcPr>
            <w:gridSpan w:val="6"/>
            <w:tcBorders>
              <w:top w:val="nil" w:sz="0" w:color="auto" w:space="0"/>
              <w:bottom w:val="nil" w:sz="0" w:color="auto" w:space="0"/>
              <w:left w:val="nil" w:sz="0" w:color="auto" w:space="0"/>
              <w:right w:val="nil" w:sz="0" w:color="auto" w:space="0"/>
            </w:tcBorders>
            <w:vAlign w:val="top"/>
            <w:tcW w:w="0" w:type="nil"/>
          </w:tcPr>
          <w:p>
            <w:pPr>
              <w:pStyle w:val=""/>
              <w:jc w:val="center"/>
            </w:pPr>
            <w:r>
              <w:rPr>
                <w:color w:val="000000"/>
                <w:rFonts w:ascii="宋体" w:hAnsi="宋体"/>
                <w:sz w:val="24"/>
                <w:szCs w:val="24"/>
              </w:rPr>
              <w:t>（  2023 年度）</w:t>
            </w:r>
          </w:p>
        </w:tc>
      </w:tr>
      <w:tr>
        <w:trPr>
          <w:trHeight w:val="776" w:hRule="atLeast"/>
        </w:trPr>
        <w:tc>
          <w:tcPr>
            <w:gridSpan w:val="3"/>
            <w:tcBorders>
              <w:top w:val="single" w:sz="4" w:color="000000" w:space="0"/>
              <w:bottom w:val="single" w:sz="4" w:color="000000" w:space="0"/>
              <w:left w:val="single" w:sz="4" w:color="000000" w:space="0"/>
              <w:right w:val="single" w:sz="4" w:color="000000" w:space="0"/>
            </w:tcBorders>
            <w:vAlign w:val="center"/>
            <w:tcW w:w="0" w:type="nil"/>
          </w:tcPr>
          <w:p>
            <w:pPr>
              <w:pStyle w:val=""/>
              <w:jc w:val="center"/>
            </w:pPr>
            <w:r>
              <w:rPr>
                <w:color w:val="000000"/>
                <w:rFonts w:ascii="宋体" w:hAnsi="宋体"/>
                <w:sz w:val="24"/>
                <w:szCs w:val="24"/>
              </w:rPr>
              <w:t>项目名称</w:t>
            </w:r>
          </w:p>
        </w:tc>
        <w:tc>
          <w:tcPr>
            <w:gridSpan w:val="3"/>
            <w:tcBorders>
              <w:top w:val="single" w:sz="4" w:color="000000" w:space="0"/>
              <w:bottom w:val="single" w:sz="4" w:color="000000" w:space="0"/>
              <w:left w:val="single" w:sz="4" w:color="000000" w:space="0"/>
              <w:right w:val="single" w:sz="4" w:color="000000" w:space="0"/>
            </w:tcBorders>
            <w:vAlign w:val="center"/>
            <w:tcW w:w="0" w:type="nil"/>
          </w:tcPr>
          <w:p>
            <w:pPr>
              <w:pStyle w:val=""/>
              <w:jc w:val="center"/>
            </w:pPr>
            <w:r>
              <w:rPr>
                <w:color w:val="000000"/>
                <w:rFonts w:ascii="宋体" w:hAnsi="宋体"/>
                <w:sz w:val="24"/>
                <w:szCs w:val="24"/>
              </w:rPr>
              <w:t>政策性农业保险</w:t>
            </w:r>
          </w:p>
        </w:tc>
      </w:tr>
      <w:tr>
        <w:trPr>
          <w:trHeight w:val="776" w:hRule="atLeast"/>
        </w:trPr>
        <w:tc>
          <w:tcPr>
            <w:gridSpan w:val="3"/>
            <w:tcBorders>
              <w:top w:val="single" w:sz="4" w:color="000000" w:space="0"/>
              <w:bottom w:val="single" w:sz="4" w:color="000000" w:space="0"/>
              <w:left w:val="single" w:sz="4" w:color="000000" w:space="0"/>
              <w:right w:val="single" w:sz="4" w:color="000000" w:space="0"/>
            </w:tcBorders>
            <w:vAlign w:val="center"/>
            <w:tcW w:w="0" w:type="nil"/>
          </w:tcPr>
          <w:p>
            <w:pPr>
              <w:pStyle w:val=""/>
              <w:jc w:val="center"/>
            </w:pPr>
            <w:r>
              <w:rPr>
                <w:color w:val="000000"/>
                <w:rFonts w:ascii="宋体" w:hAnsi="宋体"/>
                <w:sz w:val="24"/>
                <w:szCs w:val="24"/>
              </w:rPr>
              <w:t>主管部门及代码</w:t>
            </w:r>
          </w:p>
        </w:tc>
        <w:tc>
          <w:tcPr>
            <w:tcBorders>
              <w:top w:val="single" w:sz="4" w:color="000000" w:space="0"/>
              <w:bottom w:val="single" w:sz="4" w:color="000000" w:space="0"/>
              <w:left w:val="single" w:sz="4" w:color="000000" w:space="0"/>
              <w:right w:val="single" w:sz="4" w:color="000000" w:space="0"/>
            </w:tcBorders>
            <w:vAlign w:val="center"/>
            <w:tcW w:w="0" w:type="nil"/>
          </w:tcPr>
          <w:p>
            <w:pPr>
              <w:pStyle w:val=""/>
              <w:jc w:val="center"/>
            </w:pPr>
            <w:r>
              <w:rPr>
                <w:color w:val="000000"/>
                <w:rFonts w:ascii="宋体" w:hAnsi="宋体"/>
                <w:sz w:val="24"/>
                <w:szCs w:val="24"/>
              </w:rPr>
              <w:t>烈山区财政局</w:t>
            </w:r>
          </w:p>
        </w:tc>
        <w:tc>
          <w:tcPr>
            <w:tcBorders>
              <w:top w:val="single" w:sz="4" w:color="000000" w:space="0"/>
              <w:bottom w:val="single" w:sz="4" w:color="000000" w:space="0"/>
              <w:left w:val="single" w:sz="4" w:color="000000" w:space="0"/>
              <w:right w:val="single" w:sz="4" w:color="000000" w:space="0"/>
            </w:tcBorders>
            <w:vAlign w:val="center"/>
            <w:tcW w:w="0" w:type="nil"/>
          </w:tcPr>
          <w:p>
            <w:pPr>
              <w:pStyle w:val=""/>
              <w:jc w:val="center"/>
            </w:pPr>
            <w:r>
              <w:rPr>
                <w:color w:val="000000"/>
                <w:rFonts w:ascii="宋体" w:hAnsi="宋体"/>
                <w:sz w:val="24"/>
                <w:szCs w:val="24"/>
              </w:rPr>
              <w:t>实施单位</w:t>
            </w:r>
          </w:p>
        </w:tc>
        <w:tc>
          <w:tcPr>
            <w:tcBorders>
              <w:top w:val="single" w:sz="4" w:color="000000" w:space="0"/>
              <w:bottom w:val="single" w:sz="4" w:color="000000" w:space="0"/>
              <w:left w:val="single" w:sz="4" w:color="000000" w:space="0"/>
              <w:right w:val="single" w:sz="4" w:color="000000" w:space="0"/>
            </w:tcBorders>
            <w:vAlign w:val="center"/>
            <w:tcW w:w="0" w:type="nil"/>
          </w:tcPr>
          <w:p>
            <w:pPr>
              <w:pStyle w:val=""/>
              <w:jc w:val="left"/>
            </w:pPr>
            <w:r>
              <w:rPr>
                <w:color w:val="000000"/>
                <w:rFonts w:ascii="宋体" w:hAnsi="宋体"/>
                <w:sz w:val="24"/>
                <w:szCs w:val="24"/>
              </w:rPr>
              <w:t>烈山区财政局</w:t>
            </w:r>
          </w:p>
        </w:tc>
      </w:tr>
      <w:tr>
        <w:trPr>
          <w:trHeight w:val="776" w:hRule="atLeast"/>
        </w:trPr>
        <w:tc>
          <w:tcPr>
            <w:gridSpan w:val="3"/>
            <w:tcBorders>
              <w:top w:val="single" w:sz="4" w:color="000000" w:space="0"/>
              <w:bottom w:val="single" w:sz="4" w:color="000000" w:space="0"/>
              <w:left w:val="single" w:sz="4" w:color="000000" w:space="0"/>
              <w:right w:val="single" w:sz="4" w:color="000000" w:space="0"/>
            </w:tcBorders>
            <w:vAlign w:val="center"/>
            <w:tcW w:w="0" w:type="nil"/>
          </w:tcPr>
          <w:p>
            <w:pPr>
              <w:pStyle w:val=""/>
              <w:jc w:val="center"/>
            </w:pPr>
            <w:r>
              <w:rPr>
                <w:color w:val="000000"/>
                <w:rFonts w:ascii="宋体" w:hAnsi="宋体"/>
                <w:sz w:val="24"/>
                <w:szCs w:val="24"/>
              </w:rPr>
              <w:t>项目来源</w:t>
            </w:r>
          </w:p>
        </w:tc>
        <w:tc>
          <w:tcPr>
            <w:tcBorders>
              <w:top w:val="single" w:sz="4" w:color="000000" w:space="0"/>
              <w:bottom w:val="single" w:sz="4" w:color="000000" w:space="0"/>
              <w:left w:val="single" w:sz="4" w:color="000000" w:space="0"/>
              <w:right w:val="single" w:sz="4" w:color="000000" w:space="0"/>
            </w:tcBorders>
            <w:vAlign w:val="center"/>
            <w:tcW w:w="0" w:type="nil"/>
          </w:tcPr>
          <w:p>
            <w:pPr>
              <w:pStyle w:val=""/>
              <w:jc w:val="center"/>
            </w:pPr>
          </w:p>
        </w:tc>
        <w:tc>
          <w:tcPr>
            <w:tcBorders>
              <w:top w:val="single" w:sz="4" w:color="000000" w:space="0"/>
              <w:bottom w:val="nil" w:sz="0" w:color="auto" w:space="0"/>
              <w:left w:val="single" w:sz="4" w:color="000000" w:space="0"/>
              <w:right w:val="single" w:sz="4" w:color="000000" w:space="0"/>
            </w:tcBorders>
            <w:vAlign w:val="center"/>
            <w:tcW w:w="0" w:type="nil"/>
          </w:tcPr>
          <w:p>
            <w:pPr>
              <w:pStyle w:val=""/>
              <w:jc w:val="center"/>
            </w:pPr>
            <w:r>
              <w:rPr>
                <w:color w:val="000000"/>
                <w:rFonts w:ascii="宋体" w:hAnsi="宋体"/>
                <w:sz w:val="24"/>
                <w:szCs w:val="24"/>
              </w:rPr>
              <w:t>项目期</w:t>
            </w:r>
          </w:p>
        </w:tc>
        <w:tc>
          <w:tcPr>
            <w:tcBorders>
              <w:top w:val="single" w:sz="4" w:color="000000" w:space="0"/>
              <w:bottom w:val="nil" w:sz="0" w:color="auto" w:space="0"/>
              <w:left w:val="single" w:sz="4" w:color="000000" w:space="0"/>
              <w:right w:val="single" w:sz="4" w:color="000000" w:space="0"/>
            </w:tcBorders>
            <w:vAlign w:val="center"/>
            <w:tcW w:w="0" w:type="nil"/>
          </w:tcPr>
          <w:p>
            <w:pPr>
              <w:pStyle w:val=""/>
              <w:jc w:val="left"/>
            </w:pPr>
            <w:r>
              <w:rPr>
                <w:color w:val="000000"/>
                <w:rFonts w:ascii="宋体" w:hAnsi="宋体"/>
                <w:sz w:val="24"/>
                <w:szCs w:val="24"/>
              </w:rPr>
              <w:t>2023年</w:t>
            </w:r>
          </w:p>
        </w:tc>
      </w:tr>
      <w:tr>
        <w:trPr>
          <w:trHeight w:val="677" w:hRule="atLeast"/>
        </w:trPr>
        <w:tc>
          <w:tcPr>
            <w:gridSpan w:val="3"/>
            <w:tcBorders>
              <w:top w:val="single" w:sz="4" w:color="000000" w:space="0"/>
              <w:bottom w:val="single" w:sz="4" w:color="000000" w:space="0"/>
              <w:left w:val="single" w:sz="4" w:color="000000" w:space="0"/>
              <w:right w:val="single" w:sz="4" w:color="000000" w:space="0"/>
            </w:tcBorders>
            <w:vAlign w:val="center"/>
            <w:vMerge w:val="restart"/>
            <w:tcW w:w="0" w:type="nil"/>
          </w:tcPr>
          <w:p>
            <w:pPr>
              <w:pStyle w:val=""/>
              <w:jc w:val="center"/>
            </w:pPr>
            <w:r>
              <w:rPr>
                <w:color w:val="000000"/>
                <w:rFonts w:ascii="宋体" w:hAnsi="宋体"/>
                <w:sz w:val="24"/>
                <w:szCs w:val="24"/>
              </w:rPr>
              <w:t>项目资金（万元）</w:t>
            </w:r>
          </w:p>
        </w:tc>
        <w:tc>
          <w:tcPr>
            <w:tcBorders>
              <w:top w:val="single" w:sz="4" w:color="000000" w:space="0"/>
              <w:bottom w:val="single" w:sz="4" w:color="000000" w:space="0"/>
              <w:left w:val="single" w:sz="4" w:color="000000" w:space="0"/>
              <w:right w:val="single" w:sz="4" w:color="000000" w:space="0"/>
            </w:tcBorders>
            <w:vAlign w:val="center"/>
            <w:tcW w:w="0" w:type="nil"/>
          </w:tcPr>
          <w:p>
            <w:pPr>
              <w:pStyle w:val=""/>
              <w:jc w:val="center"/>
            </w:pPr>
            <w:r>
              <w:rPr>
                <w:color w:val="000000"/>
                <w:rFonts w:ascii="宋体" w:hAnsi="宋体"/>
                <w:sz w:val="24"/>
                <w:szCs w:val="24"/>
              </w:rPr>
              <w:t>年度资金总额</w:t>
            </w:r>
          </w:p>
        </w:tc>
        <w:tc>
          <w:tcPr>
            <w:gridSpan w:val="2"/>
            <w:tcBorders>
              <w:top w:val="single" w:sz="4" w:color="000000" w:space="0"/>
              <w:bottom w:val="single" w:sz="4" w:color="000000" w:space="0"/>
              <w:left w:val="single" w:sz="4" w:color="000000" w:space="0"/>
              <w:right w:val="single" w:sz="4" w:color="000000" w:space="0"/>
            </w:tcBorders>
            <w:vAlign w:val="center"/>
            <w:tcW w:w="0" w:type="nil"/>
          </w:tcPr>
          <w:p>
            <w:pPr>
              <w:pStyle w:val=""/>
              <w:jc w:val="center"/>
            </w:pPr>
            <w:r>
              <w:rPr>
                <w:color w:val="000000"/>
                <w:rFonts w:ascii="宋体" w:hAnsi="宋体"/>
                <w:sz w:val="22"/>
                <w:szCs w:val="22"/>
              </w:rPr>
              <w:t>120</w:t>
            </w:r>
          </w:p>
        </w:tc>
      </w:tr>
      <w:tr>
        <w:trPr>
          <w:trHeight w:val="717" w:hRule="atLeast"/>
        </w:trPr>
        <w:tc>
          <w:tcPr>
            <w:vMerge/>
            <w:tcBorders>
              <w:top w:val="single" w:sz="4" w:color="000000" w:space="0"/>
              <w:bottom w:val="single" w:sz="4" w:color="000000" w:space="0"/>
              <w:left w:val="single" w:sz="4" w:color="000000" w:space="0"/>
              <w:right w:val="single" w:sz="4" w:color="000000" w:space="0"/>
            </w:tcBorders>
            <w:gridSpan w:val="3"/>
          </w:tcPr>
          <w:p/>
        </w:tc>
        <w:tc>
          <w:tcPr>
            <w:tcBorders>
              <w:top w:val="single" w:sz="4" w:color="000000" w:space="0"/>
              <w:bottom w:val="single" w:sz="4" w:color="000000" w:space="0"/>
              <w:left w:val="single" w:sz="4" w:color="000000" w:space="0"/>
              <w:right w:val="single" w:sz="4" w:color="000000" w:space="0"/>
            </w:tcBorders>
            <w:vAlign w:val="center"/>
            <w:tcW w:w="0" w:type="nil"/>
          </w:tcPr>
          <w:p>
            <w:pPr>
              <w:pStyle w:val=""/>
              <w:jc w:val="center"/>
            </w:pPr>
            <w:r>
              <w:rPr>
                <w:color w:val="000000"/>
                <w:rFonts w:ascii="宋体" w:hAnsi="宋体"/>
                <w:sz w:val="24"/>
                <w:szCs w:val="24"/>
              </w:rPr>
              <w:t>其中：本年财政拨款</w:t>
            </w:r>
          </w:p>
        </w:tc>
        <w:tc>
          <w:tcPr>
            <w:gridSpan w:val="2"/>
            <w:tcBorders>
              <w:top w:val="single" w:sz="4" w:color="000000" w:space="0"/>
              <w:bottom w:val="single" w:sz="4" w:color="000000" w:space="0"/>
              <w:left w:val="single" w:sz="4" w:color="000000" w:space="0"/>
              <w:right w:val="single" w:sz="4" w:color="000000" w:space="0"/>
            </w:tcBorders>
            <w:vAlign w:val="center"/>
            <w:tcW w:w="0" w:type="nil"/>
          </w:tcPr>
          <w:p>
            <w:pPr>
              <w:pStyle w:val=""/>
              <w:jc w:val="center"/>
            </w:pPr>
            <w:r>
              <w:rPr>
                <w:color w:val="000000"/>
                <w:rFonts w:ascii="宋体" w:hAnsi="宋体"/>
                <w:sz w:val="22"/>
                <w:szCs w:val="22"/>
              </w:rPr>
              <w:t>120</w:t>
            </w:r>
          </w:p>
        </w:tc>
      </w:tr>
      <w:tr>
        <w:trPr>
          <w:trHeight w:val="641" w:hRule="atLeast"/>
        </w:trPr>
        <w:tc>
          <w:tcPr>
            <w:vMerge/>
            <w:tcBorders>
              <w:top w:val="single" w:sz="4" w:color="000000" w:space="0"/>
              <w:bottom w:val="single" w:sz="4" w:color="000000" w:space="0"/>
              <w:left w:val="single" w:sz="4" w:color="000000" w:space="0"/>
              <w:right w:val="single" w:sz="4" w:color="000000" w:space="0"/>
            </w:tcBorders>
            <w:gridSpan w:val="3"/>
          </w:tcPr>
          <w:p/>
        </w:tc>
        <w:tc>
          <w:tcPr>
            <w:tcBorders>
              <w:top w:val="single" w:sz="4" w:color="000000" w:space="0"/>
              <w:bottom w:val="single" w:sz="4" w:color="000000" w:space="0"/>
              <w:left w:val="single" w:sz="4" w:color="000000" w:space="0"/>
              <w:right w:val="single" w:sz="4" w:color="000000" w:space="0"/>
            </w:tcBorders>
            <w:vAlign w:val="center"/>
            <w:tcW w:w="0" w:type="nil"/>
          </w:tcPr>
          <w:p>
            <w:pPr>
              <w:pStyle w:val=""/>
              <w:jc w:val="center"/>
            </w:pPr>
            <w:r>
              <w:rPr>
                <w:color w:val="000000"/>
                <w:rFonts w:ascii="宋体" w:hAnsi="宋体"/>
                <w:sz w:val="24"/>
                <w:szCs w:val="24"/>
              </w:rPr>
              <w:t>上年结转资金</w:t>
            </w:r>
          </w:p>
        </w:tc>
        <w:tc>
          <w:tcPr>
            <w:gridSpan w:val="2"/>
            <w:tcBorders>
              <w:top w:val="single" w:sz="4" w:color="000000" w:space="0"/>
              <w:bottom w:val="single" w:sz="4" w:color="000000" w:space="0"/>
              <w:left w:val="single" w:sz="4" w:color="000000" w:space="0"/>
              <w:right w:val="single" w:sz="4" w:color="000000" w:space="0"/>
            </w:tcBorders>
            <w:vAlign w:val="center"/>
            <w:tcW w:w="0" w:type="nil"/>
          </w:tcPr>
          <w:p>
            <w:pPr>
              <w:pStyle w:val=""/>
              <w:jc w:val="center"/>
            </w:pPr>
            <w:r>
              <w:rPr>
                <w:color w:val="000000"/>
                <w:rFonts w:ascii="宋体" w:hAnsi="宋体"/>
                <w:sz w:val="22"/>
                <w:szCs w:val="22"/>
              </w:rPr>
              <w:t>0</w:t>
            </w:r>
          </w:p>
        </w:tc>
      </w:tr>
      <w:tr>
        <w:trPr>
          <w:trHeight w:val="482" w:hRule="atLeast"/>
        </w:trPr>
        <w:tc>
          <w:tcPr>
            <w:vMerge/>
            <w:tcBorders>
              <w:top w:val="single" w:sz="4" w:color="000000" w:space="0"/>
              <w:bottom w:val="single" w:sz="4" w:color="000000" w:space="0"/>
              <w:left w:val="single" w:sz="4" w:color="000000" w:space="0"/>
              <w:right w:val="single" w:sz="4" w:color="000000" w:space="0"/>
            </w:tcBorders>
            <w:gridSpan w:val="3"/>
          </w:tcPr>
          <w:p/>
        </w:tc>
        <w:tc>
          <w:tcPr>
            <w:tcBorders>
              <w:top w:val="single" w:sz="4" w:color="000000" w:space="0"/>
              <w:bottom w:val="nil" w:sz="0" w:color="auto" w:space="0"/>
              <w:left w:val="single" w:sz="4" w:color="000000" w:space="0"/>
              <w:right w:val="single" w:sz="4" w:color="000000" w:space="0"/>
            </w:tcBorders>
            <w:vAlign w:val="center"/>
            <w:tcW w:w="0" w:type="nil"/>
          </w:tcPr>
          <w:p>
            <w:pPr>
              <w:pStyle w:val=""/>
              <w:jc w:val="center"/>
            </w:pPr>
            <w:r>
              <w:rPr>
                <w:color w:val="000000"/>
                <w:rFonts w:ascii="宋体" w:hAnsi="宋体"/>
                <w:sz w:val="24"/>
                <w:szCs w:val="24"/>
              </w:rPr>
              <w:t>其他资金</w:t>
            </w:r>
          </w:p>
        </w:tc>
        <w:tc>
          <w:tcPr>
            <w:gridSpan w:val="2"/>
            <w:tcBorders>
              <w:top w:val="single" w:sz="4" w:color="000000" w:space="0"/>
              <w:bottom w:val="nil" w:sz="0" w:color="auto" w:space="0"/>
              <w:left w:val="single" w:sz="4" w:color="000000" w:space="0"/>
              <w:right w:val="single" w:sz="4" w:color="000000" w:space="0"/>
            </w:tcBorders>
            <w:vAlign w:val="center"/>
            <w:tcW w:w="0" w:type="nil"/>
          </w:tcPr>
          <w:p>
            <w:pPr>
              <w:pStyle w:val=""/>
              <w:jc w:val="center"/>
            </w:pPr>
            <w:r>
              <w:rPr>
                <w:color w:val="000000"/>
                <w:rFonts w:ascii="宋体" w:hAnsi="宋体"/>
                <w:sz w:val="22"/>
                <w:szCs w:val="22"/>
              </w:rPr>
              <w:t>0</w:t>
            </w:r>
          </w:p>
        </w:tc>
      </w:tr>
      <w:tr>
        <w:trPr>
          <w:trHeight w:val="1012" w:hRule="atLeast"/>
        </w:trPr>
        <w:tc>
          <w:tcPr>
            <w:tcBorders>
              <w:top w:val="single" w:sz="4" w:color="000000" w:space="0"/>
              <w:bottom w:val="single" w:sz="4" w:color="000000" w:space="0"/>
              <w:left w:val="single" w:sz="4" w:color="000000" w:space="0"/>
              <w:right w:val="single" w:sz="4" w:color="000000" w:space="0"/>
            </w:tcBorders>
            <w:vAlign w:val="center"/>
            <w:tcW w:w="0" w:type="nil"/>
          </w:tcPr>
          <w:p>
            <w:pPr>
              <w:pStyle w:val=""/>
              <w:jc w:val="left"/>
            </w:pPr>
            <w:r>
              <w:rPr>
                <w:color w:val="000000"/>
                <w:rFonts w:ascii="宋体" w:hAnsi="宋体"/>
                <w:sz w:val="22"/>
                <w:szCs w:val="22"/>
              </w:rPr>
              <w:t>年度目标</w:t>
            </w:r>
          </w:p>
        </w:tc>
        <w:tc>
          <w:tcPr>
            <w:gridSpan w:val="5"/>
            <w:tcBorders>
              <w:top w:val="single" w:sz="4" w:color="000000" w:space="0"/>
              <w:bottom w:val="single" w:sz="4" w:color="000000" w:space="0"/>
              <w:left w:val="single" w:sz="4" w:color="000000" w:space="0"/>
              <w:right w:val="single" w:sz="4" w:color="000000" w:space="0"/>
            </w:tcBorders>
            <w:vAlign w:val="center"/>
            <w:tcW w:w="0" w:type="nil"/>
          </w:tcPr>
          <w:p>
            <w:pPr>
              <w:pStyle w:val=""/>
              <w:jc w:val="center"/>
            </w:pPr>
            <w:r>
              <w:rPr>
                <w:color w:val="000000"/>
                <w:rFonts w:ascii="宋体" w:hAnsi="宋体"/>
                <w:sz w:val="24"/>
                <w:szCs w:val="24"/>
              </w:rPr>
              <w:t>完成市级下达任务，推进政策性农业保险发展</w:t>
            </w:r>
          </w:p>
        </w:tc>
      </w:tr>
      <w:tr>
        <w:trPr>
          <w:trHeight w:val="559" w:hRule="atLeast"/>
        </w:trPr>
        <w:tc>
          <w:tcPr>
            <w:tcBorders>
              <w:top w:val="single" w:sz="4" w:color="000000" w:space="0"/>
              <w:bottom w:val="single" w:sz="4" w:color="000000" w:space="0"/>
              <w:left w:val="single" w:sz="4" w:color="000000" w:space="0"/>
              <w:right w:val="single" w:sz="4" w:color="000000" w:space="0"/>
            </w:tcBorders>
            <w:vAlign w:val="center"/>
            <w:vMerge w:val="restart"/>
            <w:tcW w:w="0" w:type="nil"/>
          </w:tcPr>
          <w:p>
            <w:pPr>
              <w:pStyle w:val=""/>
              <w:jc w:val="center"/>
            </w:pPr>
            <w:r>
              <w:rPr>
                <w:color w:val="000000"/>
                <w:rFonts w:ascii="宋体" w:hAnsi="宋体"/>
                <w:sz w:val="24"/>
                <w:szCs w:val="24"/>
              </w:rPr>
              <w:t>绩效指标</w:t>
            </w:r>
          </w:p>
        </w:tc>
        <w:tc>
          <w:tcPr>
            <w:tcBorders>
              <w:top w:val="nil" w:sz="0" w:color="auto" w:space="0"/>
              <w:bottom w:val="single" w:sz="4" w:color="000000" w:space="0"/>
              <w:left w:val="single" w:sz="4" w:color="000000" w:space="0"/>
              <w:right w:val="single" w:sz="4" w:color="000000" w:space="0"/>
            </w:tcBorders>
            <w:vAlign w:val="center"/>
            <w:vMerge w:val="restart"/>
            <w:tcW w:w="0" w:type="nil"/>
          </w:tcPr>
          <w:p>
            <w:pPr>
              <w:pStyle w:val=""/>
              <w:jc w:val="center"/>
            </w:pPr>
            <w:r>
              <w:rPr>
                <w:color w:val="000000"/>
                <w:rFonts w:ascii="宋体" w:hAnsi="宋体"/>
                <w:sz w:val="24"/>
                <w:szCs w:val="24"/>
              </w:rPr>
              <w:t>一级指标</w:t>
            </w:r>
          </w:p>
        </w:tc>
        <w:tc>
          <w:tcPr>
            <w:tcBorders>
              <w:top w:val="nil" w:sz="0" w:color="auto" w:space="0"/>
              <w:bottom w:val="single" w:sz="4" w:color="000000" w:space="0"/>
              <w:left w:val="single" w:sz="4" w:color="000000" w:space="0"/>
              <w:right w:val="single" w:sz="4" w:color="000000" w:space="0"/>
            </w:tcBorders>
            <w:vAlign w:val="center"/>
            <w:vMerge w:val="restart"/>
            <w:tcW w:w="0" w:type="nil"/>
          </w:tcPr>
          <w:p>
            <w:pPr>
              <w:pStyle w:val=""/>
              <w:jc w:val="center"/>
            </w:pPr>
            <w:r>
              <w:rPr>
                <w:color w:val="000000"/>
                <w:rFonts w:ascii="宋体" w:hAnsi="宋体"/>
                <w:sz w:val="24"/>
                <w:szCs w:val="24"/>
              </w:rPr>
              <w:t>二级指标</w:t>
            </w:r>
          </w:p>
        </w:tc>
        <w:tc>
          <w:tcPr>
            <w:tcBorders>
              <w:top w:val="nil" w:sz="0" w:color="auto" w:space="0"/>
              <w:bottom w:val="single" w:sz="4" w:color="000000" w:space="0"/>
              <w:left w:val="single" w:sz="4" w:color="000000" w:space="0"/>
              <w:right w:val="single" w:sz="4" w:color="000000" w:space="0"/>
            </w:tcBorders>
            <w:vAlign w:val="center"/>
            <w:vMerge w:val="restart"/>
            <w:tcW w:w="0" w:type="nil"/>
          </w:tcPr>
          <w:p>
            <w:pPr>
              <w:pStyle w:val=""/>
              <w:jc w:val="center"/>
            </w:pPr>
            <w:r>
              <w:rPr>
                <w:color w:val="000000"/>
                <w:rFonts w:ascii="宋体" w:hAnsi="宋体"/>
                <w:sz w:val="24"/>
                <w:szCs w:val="24"/>
              </w:rPr>
              <w:t>三级指标</w:t>
            </w:r>
          </w:p>
        </w:tc>
        <w:tc>
          <w:tcPr>
            <w:gridSpan w:val="2"/>
            <w:tcBorders>
              <w:top w:val="nil" w:sz="0" w:color="auto" w:space="0"/>
              <w:bottom w:val="single" w:sz="4" w:color="000000" w:space="0"/>
              <w:left w:val="single" w:sz="4" w:color="000000" w:space="0"/>
              <w:right w:val="single" w:sz="4" w:color="000000" w:space="0"/>
            </w:tcBorders>
            <w:vAlign w:val="center"/>
            <w:vMerge w:val="restart"/>
            <w:tcW w:w="0" w:type="nil"/>
          </w:tcPr>
          <w:p>
            <w:pPr>
              <w:pStyle w:val=""/>
              <w:jc w:val="center"/>
            </w:pPr>
            <w:r>
              <w:rPr>
                <w:color w:val="000000"/>
                <w:rFonts w:ascii="宋体" w:hAnsi="宋体"/>
                <w:sz w:val="24"/>
                <w:szCs w:val="24"/>
              </w:rPr>
              <w:t>指标值</w:t>
            </w:r>
          </w:p>
        </w:tc>
      </w:tr>
      <w:tr>
        <w:trPr>
          <w:trHeight w:val="324" w:hRule="atLeast"/>
        </w:trPr>
        <w:tc>
          <w:tcPr>
            <w:vMerge/>
            <w:tcBorders>
              <w:top w:val="single" w:sz="4" w:color="000000" w:space="0"/>
              <w:bottom w:val="single" w:sz="4" w:color="000000" w:space="0"/>
              <w:left w:val="single" w:sz="4" w:color="000000" w:space="0"/>
              <w:right w:val="single" w:sz="4" w:color="000000" w:space="0"/>
            </w:tcBorders>
          </w:tcPr>
          <w:p/>
        </w:tc>
        <w:tc>
          <w:tcPr>
            <w:vMerge/>
            <w:tcBorders>
              <w:top w:val="nil" w:sz="0" w:color="auto" w:space="0"/>
              <w:bottom w:val="single" w:sz="4" w:color="000000" w:space="0"/>
              <w:left w:val="single" w:sz="4" w:color="000000" w:space="0"/>
              <w:right w:val="single" w:sz="4" w:color="000000" w:space="0"/>
            </w:tcBorders>
          </w:tcPr>
          <w:p/>
        </w:tc>
        <w:tc>
          <w:tcPr>
            <w:vMerge/>
            <w:tcBorders>
              <w:top w:val="nil" w:sz="0" w:color="auto" w:space="0"/>
              <w:bottom w:val="single" w:sz="4" w:color="000000" w:space="0"/>
              <w:left w:val="single" w:sz="4" w:color="000000" w:space="0"/>
              <w:right w:val="single" w:sz="4" w:color="000000" w:space="0"/>
            </w:tcBorders>
          </w:tcPr>
          <w:p/>
        </w:tc>
        <w:tc>
          <w:tcPr>
            <w:vMerge/>
            <w:tcBorders>
              <w:top w:val="nil" w:sz="0" w:color="auto" w:space="0"/>
              <w:bottom w:val="single" w:sz="4" w:color="000000" w:space="0"/>
              <w:left w:val="single" w:sz="4" w:color="000000" w:space="0"/>
              <w:right w:val="single" w:sz="4" w:color="000000" w:space="0"/>
            </w:tcBorders>
          </w:tcPr>
          <w:p/>
        </w:tc>
        <w:tc>
          <w:tcPr>
            <w:vMerge/>
            <w:tcBorders>
              <w:top w:val="nil" w:sz="0" w:color="auto" w:space="0"/>
              <w:bottom w:val="single" w:sz="4" w:color="000000" w:space="0"/>
              <w:left w:val="single" w:sz="4" w:color="000000" w:space="0"/>
              <w:right w:val="single" w:sz="4" w:color="000000" w:space="0"/>
            </w:tcBorders>
            <w:gridSpan w:val="2"/>
          </w:tcPr>
          <w:p/>
        </w:tc>
      </w:tr>
      <w:tr>
        <w:trPr>
          <w:trHeight w:val="623" w:hRule="atLeast"/>
        </w:trPr>
        <w:tc>
          <w:tcPr>
            <w:vMerge/>
            <w:tcBorders>
              <w:top w:val="single" w:sz="4" w:color="000000" w:space="0"/>
              <w:bottom w:val="single" w:sz="4" w:color="000000" w:space="0"/>
              <w:left w:val="single" w:sz="4" w:color="000000" w:space="0"/>
              <w:right w:val="single" w:sz="4" w:color="000000" w:space="0"/>
            </w:tcBorders>
          </w:tcPr>
          <w:p/>
        </w:tc>
        <w:tc>
          <w:tcPr>
            <w:tcBorders>
              <w:top w:val="single" w:sz="4" w:color="000000" w:space="0"/>
              <w:bottom w:val="single" w:sz="4" w:color="000000" w:space="0"/>
              <w:left w:val="single" w:sz="4" w:color="000000" w:space="0"/>
              <w:right w:val="single" w:sz="4" w:color="000000" w:space="0"/>
            </w:tcBorders>
            <w:vAlign w:val="center"/>
            <w:vMerge w:val="restart"/>
            <w:tcW w:w="0" w:type="nil"/>
          </w:tcPr>
          <w:p>
            <w:pPr>
              <w:pStyle w:val=""/>
              <w:jc w:val="center"/>
            </w:pPr>
            <w:r>
              <w:rPr>
                <w:color w:val="000000"/>
                <w:rFonts w:ascii="宋体" w:hAnsi="宋体"/>
                <w:sz w:val="24"/>
                <w:szCs w:val="24"/>
              </w:rPr>
              <w:t>产</w:t>
            </w:r>
            <w:r>
              <w:rPr>
                <w:color w:val="000000"/>
                <w:rFonts w:ascii="宋体" w:hAnsi="宋体"/>
                <w:sz w:val="24"/>
                <w:szCs w:val="24"/>
              </w:rPr>
              <w:t> </w:t>
            </w:r>
            <w:r>
              <w:rPr>
                <w:color w:val="000000"/>
                <w:rFonts w:ascii="宋体" w:hAnsi="宋体"/>
                <w:sz w:val="24"/>
                <w:szCs w:val="24"/>
              </w:rPr>
              <w:t>出</w:t>
            </w:r>
            <w:r>
              <w:rPr>
                <w:color w:val="000000"/>
                <w:rFonts w:ascii="宋体" w:hAnsi="宋体"/>
                <w:sz w:val="24"/>
                <w:szCs w:val="24"/>
              </w:rPr>
              <w:t> </w:t>
            </w:r>
            <w:r>
              <w:rPr>
                <w:color w:val="000000"/>
                <w:rFonts w:ascii="宋体" w:hAnsi="宋体"/>
                <w:sz w:val="24"/>
                <w:szCs w:val="24"/>
              </w:rPr>
              <w:t>指</w:t>
            </w:r>
            <w:r>
              <w:rPr>
                <w:color w:val="000000"/>
                <w:rFonts w:ascii="宋体" w:hAnsi="宋体"/>
                <w:sz w:val="24"/>
                <w:szCs w:val="24"/>
              </w:rPr>
              <w:t> </w:t>
            </w:r>
            <w:r>
              <w:rPr>
                <w:color w:val="000000"/>
                <w:rFonts w:ascii="宋体" w:hAnsi="宋体"/>
                <w:sz w:val="24"/>
                <w:szCs w:val="24"/>
              </w:rPr>
              <w:t>标</w:t>
            </w:r>
          </w:p>
        </w:tc>
        <w:tc>
          <w:tcPr>
            <w:tcBorders>
              <w:top w:val="single" w:sz="4" w:color="000000" w:space="0"/>
              <w:bottom w:val="single" w:sz="4" w:color="000000" w:space="0"/>
              <w:left w:val="single" w:sz="4" w:color="000000" w:space="0"/>
              <w:right w:val="single" w:sz="4" w:color="000000" w:space="0"/>
            </w:tcBorders>
            <w:vAlign w:val="center"/>
            <w:tcW w:w="0" w:type="nil"/>
          </w:tcPr>
          <w:p>
            <w:pPr>
              <w:pStyle w:val=""/>
              <w:jc w:val="center"/>
            </w:pPr>
            <w:r>
              <w:rPr>
                <w:color w:val="000000"/>
                <w:rFonts w:ascii="宋体" w:hAnsi="宋体"/>
                <w:sz w:val="24"/>
                <w:szCs w:val="24"/>
              </w:rPr>
              <w:t>数量指标</w:t>
            </w:r>
          </w:p>
        </w:tc>
        <w:tc>
          <w:tcPr>
            <w:tcBorders>
              <w:top w:val="single" w:sz="4" w:color="000000" w:space="0"/>
              <w:bottom w:val="single" w:sz="4" w:color="000000" w:space="0"/>
              <w:left w:val="single" w:sz="4" w:color="000000" w:space="0"/>
              <w:right w:val="single" w:sz="4" w:color="000000" w:space="0"/>
            </w:tcBorders>
            <w:vAlign w:val="center"/>
            <w:tcW w:w="0" w:type="nil"/>
          </w:tcPr>
          <w:p>
            <w:pPr>
              <w:pStyle w:val=""/>
              <w:jc w:val="center"/>
            </w:pPr>
            <w:r>
              <w:rPr>
                <w:color w:val="000000"/>
                <w:rFonts w:ascii="宋体" w:hAnsi="宋体"/>
                <w:sz w:val="24"/>
                <w:szCs w:val="24"/>
              </w:rPr>
              <w:t>各类农产品保险项目数不低于省市标准</w:t>
            </w:r>
          </w:p>
        </w:tc>
        <w:tc>
          <w:tcPr>
            <w:gridSpan w:val="2"/>
            <w:tcBorders>
              <w:top w:val="single" w:sz="4" w:color="000000" w:space="0"/>
              <w:bottom w:val="single" w:sz="4" w:color="000000" w:space="0"/>
              <w:left w:val="single" w:sz="4" w:color="000000" w:space="0"/>
              <w:right w:val="single" w:sz="4" w:color="000000" w:space="0"/>
            </w:tcBorders>
            <w:vAlign w:val="center"/>
            <w:tcW w:w="0" w:type="nil"/>
          </w:tcPr>
          <w:p>
            <w:pPr>
              <w:pStyle w:val=""/>
              <w:jc w:val="center"/>
            </w:pPr>
            <w:r>
              <w:rPr>
                <w:color w:val="000000"/>
                <w:rFonts w:ascii="宋体" w:hAnsi="宋体"/>
                <w:sz w:val="24"/>
                <w:szCs w:val="24"/>
              </w:rPr>
              <w:t>根据省市下达任务</w:t>
            </w:r>
          </w:p>
        </w:tc>
      </w:tr>
      <w:tr>
        <w:trPr>
          <w:trHeight w:val="599" w:hRule="atLeast"/>
        </w:trPr>
        <w:tc>
          <w:tcPr>
            <w:vMerge/>
            <w:tcBorders>
              <w:top w:val="single" w:sz="4" w:color="000000" w:space="0"/>
              <w:bottom w:val="single" w:sz="4" w:color="000000" w:space="0"/>
              <w:left w:val="single" w:sz="4" w:color="000000" w:space="0"/>
              <w:right w:val="single" w:sz="4" w:color="000000" w:space="0"/>
            </w:tcBorders>
          </w:tcPr>
          <w:p/>
        </w:tc>
        <w:tc>
          <w:tcPr>
            <w:vMerge/>
            <w:tcBorders>
              <w:top w:val="single" w:sz="4" w:color="000000" w:space="0"/>
              <w:bottom w:val="single" w:sz="4" w:color="000000" w:space="0"/>
              <w:left w:val="single" w:sz="4" w:color="000000" w:space="0"/>
              <w:right w:val="single" w:sz="4" w:color="000000" w:space="0"/>
            </w:tcBorders>
          </w:tcPr>
          <w:p/>
        </w:tc>
        <w:tc>
          <w:tcPr>
            <w:tcBorders>
              <w:top w:val="single" w:sz="4" w:color="000000" w:space="0"/>
              <w:bottom w:val="single" w:sz="4" w:color="000000" w:space="0"/>
              <w:left w:val="single" w:sz="4" w:color="000000" w:space="0"/>
              <w:right w:val="single" w:sz="4" w:color="000000" w:space="0"/>
            </w:tcBorders>
            <w:vAlign w:val="center"/>
            <w:tcW w:w="0" w:type="nil"/>
          </w:tcPr>
          <w:p>
            <w:pPr>
              <w:pStyle w:val=""/>
              <w:jc w:val="center"/>
            </w:pPr>
            <w:r>
              <w:rPr>
                <w:color w:val="000000"/>
                <w:rFonts w:ascii="宋体" w:hAnsi="宋体"/>
                <w:sz w:val="24"/>
                <w:szCs w:val="24"/>
              </w:rPr>
              <w:t>质量指标</w:t>
            </w:r>
          </w:p>
        </w:tc>
        <w:tc>
          <w:tcPr>
            <w:tcBorders>
              <w:top w:val="single" w:sz="4" w:color="000000" w:space="0"/>
              <w:bottom w:val="single" w:sz="4" w:color="000000" w:space="0"/>
              <w:left w:val="single" w:sz="4" w:color="000000" w:space="0"/>
              <w:right w:val="single" w:sz="4" w:color="000000" w:space="0"/>
            </w:tcBorders>
            <w:vAlign w:val="center"/>
            <w:tcW w:w="0" w:type="nil"/>
          </w:tcPr>
          <w:p>
            <w:pPr>
              <w:pStyle w:val=""/>
              <w:jc w:val="center"/>
            </w:pPr>
            <w:r>
              <w:rPr>
                <w:color w:val="000000"/>
                <w:rFonts w:ascii="宋体" w:hAnsi="宋体"/>
                <w:sz w:val="24"/>
                <w:szCs w:val="24"/>
              </w:rPr>
              <w:t>补助补贴资金支出合规性</w:t>
            </w:r>
          </w:p>
        </w:tc>
        <w:tc>
          <w:tcPr>
            <w:gridSpan w:val="2"/>
            <w:tcBorders>
              <w:top w:val="single" w:sz="4" w:color="000000" w:space="0"/>
              <w:bottom w:val="single" w:sz="4" w:color="000000" w:space="0"/>
              <w:left w:val="single" w:sz="4" w:color="000000" w:space="0"/>
              <w:right w:val="single" w:sz="4" w:color="000000" w:space="0"/>
            </w:tcBorders>
            <w:vAlign w:val="center"/>
            <w:tcW w:w="0" w:type="nil"/>
          </w:tcPr>
          <w:p>
            <w:pPr>
              <w:pStyle w:val=""/>
              <w:jc w:val="center"/>
            </w:pPr>
            <w:r>
              <w:rPr>
                <w:color w:val="000000"/>
                <w:rFonts w:ascii="宋体" w:hAnsi="宋体"/>
                <w:sz w:val="24"/>
                <w:szCs w:val="24"/>
              </w:rPr>
              <w:t>根据项目完成情况</w:t>
            </w:r>
          </w:p>
        </w:tc>
      </w:tr>
      <w:tr>
        <w:trPr>
          <w:trHeight w:val="619" w:hRule="atLeast"/>
        </w:trPr>
        <w:tc>
          <w:tcPr>
            <w:vMerge/>
            <w:tcBorders>
              <w:top w:val="single" w:sz="4" w:color="000000" w:space="0"/>
              <w:bottom w:val="single" w:sz="4" w:color="000000" w:space="0"/>
              <w:left w:val="single" w:sz="4" w:color="000000" w:space="0"/>
              <w:right w:val="single" w:sz="4" w:color="000000" w:space="0"/>
            </w:tcBorders>
          </w:tcPr>
          <w:p/>
        </w:tc>
        <w:tc>
          <w:tcPr>
            <w:vMerge/>
            <w:tcBorders>
              <w:top w:val="single" w:sz="4" w:color="000000" w:space="0"/>
              <w:bottom w:val="single" w:sz="4" w:color="000000" w:space="0"/>
              <w:left w:val="single" w:sz="4" w:color="000000" w:space="0"/>
              <w:right w:val="single" w:sz="4" w:color="000000" w:space="0"/>
            </w:tcBorders>
          </w:tcPr>
          <w:p/>
        </w:tc>
        <w:tc>
          <w:tcPr>
            <w:tcBorders>
              <w:top w:val="single" w:sz="4" w:color="000000" w:space="0"/>
              <w:bottom w:val="single" w:sz="4" w:color="000000" w:space="0"/>
              <w:left w:val="single" w:sz="4" w:color="000000" w:space="0"/>
              <w:right w:val="single" w:sz="4" w:color="000000" w:space="0"/>
            </w:tcBorders>
            <w:vAlign w:val="center"/>
            <w:tcW w:w="0" w:type="nil"/>
          </w:tcPr>
          <w:p>
            <w:pPr>
              <w:pStyle w:val=""/>
              <w:jc w:val="center"/>
            </w:pPr>
            <w:r>
              <w:rPr>
                <w:color w:val="000000"/>
                <w:rFonts w:ascii="宋体" w:hAnsi="宋体"/>
                <w:sz w:val="24"/>
                <w:szCs w:val="24"/>
              </w:rPr>
              <w:t>时效指标</w:t>
            </w:r>
          </w:p>
        </w:tc>
        <w:tc>
          <w:tcPr>
            <w:tcBorders>
              <w:top w:val="single" w:sz="4" w:color="000000" w:space="0"/>
              <w:bottom w:val="single" w:sz="4" w:color="000000" w:space="0"/>
              <w:left w:val="single" w:sz="4" w:color="000000" w:space="0"/>
              <w:right w:val="single" w:sz="4" w:color="000000" w:space="0"/>
            </w:tcBorders>
            <w:vAlign w:val="center"/>
            <w:tcW w:w="0" w:type="nil"/>
          </w:tcPr>
          <w:p>
            <w:pPr>
              <w:pStyle w:val=""/>
              <w:jc w:val="center"/>
            </w:pPr>
            <w:r>
              <w:rPr>
                <w:color w:val="000000"/>
                <w:rFonts w:ascii="宋体" w:hAnsi="宋体"/>
                <w:sz w:val="24"/>
                <w:szCs w:val="24"/>
              </w:rPr>
              <w:t>2023年底前完成支付</w:t>
            </w:r>
          </w:p>
        </w:tc>
        <w:tc>
          <w:tcPr>
            <w:gridSpan w:val="2"/>
            <w:tcBorders>
              <w:top w:val="single" w:sz="4" w:color="000000" w:space="0"/>
              <w:bottom w:val="single" w:sz="4" w:color="000000" w:space="0"/>
              <w:left w:val="single" w:sz="4" w:color="000000" w:space="0"/>
              <w:right w:val="single" w:sz="4" w:color="000000" w:space="0"/>
            </w:tcBorders>
            <w:vAlign w:val="center"/>
            <w:tcW w:w="0" w:type="nil"/>
          </w:tcPr>
          <w:p>
            <w:pPr>
              <w:pStyle w:val=""/>
              <w:jc w:val="center"/>
            </w:pPr>
            <w:r>
              <w:rPr>
                <w:color w:val="000000"/>
                <w:rFonts w:ascii="宋体" w:hAnsi="宋体"/>
                <w:sz w:val="24"/>
                <w:szCs w:val="24"/>
              </w:rPr>
              <w:t>完成支付</w:t>
            </w:r>
          </w:p>
        </w:tc>
      </w:tr>
      <w:tr>
        <w:trPr>
          <w:trHeight w:val="540" w:hRule="atLeast"/>
        </w:trPr>
        <w:tc>
          <w:tcPr>
            <w:vMerge/>
            <w:tcBorders>
              <w:top w:val="single" w:sz="4" w:color="000000" w:space="0"/>
              <w:bottom w:val="single" w:sz="4" w:color="000000" w:space="0"/>
              <w:left w:val="single" w:sz="4" w:color="000000" w:space="0"/>
              <w:right w:val="single" w:sz="4" w:color="000000" w:space="0"/>
            </w:tcBorders>
          </w:tcPr>
          <w:p/>
        </w:tc>
        <w:tc>
          <w:tcPr>
            <w:vMerge/>
            <w:tcBorders>
              <w:top w:val="single" w:sz="4" w:color="000000" w:space="0"/>
              <w:bottom w:val="single" w:sz="4" w:color="000000" w:space="0"/>
              <w:left w:val="single" w:sz="4" w:color="000000" w:space="0"/>
              <w:right w:val="single" w:sz="4" w:color="000000" w:space="0"/>
            </w:tcBorders>
          </w:tcPr>
          <w:p/>
        </w:tc>
        <w:tc>
          <w:tcPr>
            <w:tcBorders>
              <w:top w:val="nil" w:sz="0" w:color="auto" w:space="0"/>
              <w:bottom w:val="nil" w:sz="0" w:color="auto" w:space="0"/>
              <w:left w:val="nil" w:sz="0" w:color="auto" w:space="0"/>
              <w:right w:val="nil" w:sz="0" w:color="auto" w:space="0"/>
            </w:tcBorders>
            <w:vAlign w:val="center"/>
            <w:tcW w:w="0" w:type="nil"/>
          </w:tcPr>
          <w:p>
            <w:pPr>
              <w:pStyle w:val=""/>
              <w:jc w:val="left"/>
            </w:pPr>
            <w:r>
              <w:rPr>
                <w:color w:val="000000"/>
                <w:rFonts w:ascii="宋体" w:hAnsi="宋体"/>
                <w:sz w:val="22"/>
                <w:szCs w:val="22"/>
              </w:rPr>
              <w:t xml:space="preserve"> 成本指标</w:t>
            </w:r>
          </w:p>
        </w:tc>
        <w:tc>
          <w:tcPr>
            <w:tcBorders>
              <w:top w:val="single" w:sz="4" w:color="000000" w:space="0"/>
              <w:bottom w:val="single" w:sz="4" w:color="000000" w:space="0"/>
              <w:left w:val="single" w:sz="4" w:color="000000" w:space="0"/>
              <w:right w:val="single" w:sz="4" w:color="000000" w:space="0"/>
            </w:tcBorders>
            <w:vAlign w:val="center"/>
            <w:tcW w:w="0" w:type="nil"/>
          </w:tcPr>
          <w:p>
            <w:pPr>
              <w:pStyle w:val=""/>
              <w:jc w:val="center"/>
            </w:pPr>
          </w:p>
        </w:tc>
        <w:tc>
          <w:tcPr>
            <w:gridSpan w:val="2"/>
            <w:tcBorders>
              <w:top w:val="single" w:sz="4" w:color="000000" w:space="0"/>
              <w:bottom w:val="single" w:sz="4" w:color="000000" w:space="0"/>
              <w:left w:val="single" w:sz="4" w:color="000000" w:space="0"/>
              <w:right w:val="single" w:sz="4" w:color="000000" w:space="0"/>
            </w:tcBorders>
            <w:vAlign w:val="center"/>
            <w:tcW w:w="0" w:type="nil"/>
          </w:tcPr>
          <w:p>
            <w:pPr>
              <w:pStyle w:val=""/>
              <w:jc w:val="center"/>
            </w:pPr>
          </w:p>
        </w:tc>
      </w:tr>
      <w:tr>
        <w:trPr>
          <w:trHeight w:val="639" w:hRule="atLeast"/>
        </w:trPr>
        <w:tc>
          <w:tcPr>
            <w:vMerge/>
            <w:tcBorders>
              <w:top w:val="single" w:sz="4" w:color="000000" w:space="0"/>
              <w:bottom w:val="single" w:sz="4" w:color="000000" w:space="0"/>
              <w:left w:val="single" w:sz="4" w:color="000000" w:space="0"/>
              <w:right w:val="single" w:sz="4" w:color="000000" w:space="0"/>
            </w:tcBorders>
          </w:tcPr>
          <w:p/>
        </w:tc>
        <w:tc>
          <w:tcPr>
            <w:tcBorders>
              <w:top w:val="single" w:sz="4" w:color="000000" w:space="0"/>
              <w:bottom w:val="single" w:sz="4" w:color="000000" w:space="0"/>
              <w:left w:val="single" w:sz="4" w:color="000000" w:space="0"/>
              <w:right w:val="single" w:sz="4" w:color="000000" w:space="0"/>
            </w:tcBorders>
            <w:vAlign w:val="center"/>
            <w:vMerge w:val="restart"/>
            <w:tcW w:w="0" w:type="nil"/>
          </w:tcPr>
          <w:p>
            <w:pPr>
              <w:pStyle w:val=""/>
              <w:jc w:val="center"/>
            </w:pPr>
            <w:r>
              <w:rPr>
                <w:color w:val="000000"/>
                <w:rFonts w:ascii="宋体" w:hAnsi="宋体"/>
                <w:sz w:val="24"/>
                <w:szCs w:val="24"/>
              </w:rPr>
              <w:t>效</w:t>
            </w:r>
            <w:r>
              <w:rPr>
                <w:color w:val="000000"/>
                <w:rFonts w:ascii="宋体" w:hAnsi="宋体"/>
                <w:sz w:val="24"/>
                <w:szCs w:val="24"/>
              </w:rPr>
              <w:t> </w:t>
            </w:r>
            <w:r>
              <w:rPr>
                <w:color w:val="000000"/>
                <w:rFonts w:ascii="宋体" w:hAnsi="宋体"/>
                <w:sz w:val="24"/>
                <w:szCs w:val="24"/>
              </w:rPr>
              <w:t>益</w:t>
            </w:r>
            <w:r>
              <w:rPr>
                <w:color w:val="000000"/>
                <w:rFonts w:ascii="宋体" w:hAnsi="宋体"/>
                <w:sz w:val="24"/>
                <w:szCs w:val="24"/>
              </w:rPr>
              <w:t> </w:t>
            </w:r>
            <w:r>
              <w:rPr>
                <w:color w:val="000000"/>
                <w:rFonts w:ascii="宋体" w:hAnsi="宋体"/>
                <w:sz w:val="24"/>
                <w:szCs w:val="24"/>
              </w:rPr>
              <w:t>指</w:t>
            </w:r>
            <w:r>
              <w:rPr>
                <w:color w:val="000000"/>
                <w:rFonts w:ascii="宋体" w:hAnsi="宋体"/>
                <w:sz w:val="24"/>
                <w:szCs w:val="24"/>
              </w:rPr>
              <w:t> </w:t>
            </w:r>
            <w:r>
              <w:rPr>
                <w:color w:val="000000"/>
                <w:rFonts w:ascii="宋体" w:hAnsi="宋体"/>
                <w:sz w:val="24"/>
                <w:szCs w:val="24"/>
              </w:rPr>
              <w:t>标</w:t>
            </w:r>
          </w:p>
        </w:tc>
        <w:tc>
          <w:tcPr>
            <w:tcBorders>
              <w:top w:val="single" w:sz="4" w:color="000000" w:space="0"/>
              <w:bottom w:val="single" w:sz="4" w:color="000000" w:space="0"/>
              <w:left w:val="single" w:sz="4" w:color="000000" w:space="0"/>
              <w:right w:val="single" w:sz="4" w:color="000000" w:space="0"/>
            </w:tcBorders>
            <w:vAlign w:val="center"/>
            <w:tcW w:w="0" w:type="nil"/>
          </w:tcPr>
          <w:p>
            <w:pPr>
              <w:pStyle w:val=""/>
              <w:jc w:val="center"/>
            </w:pPr>
            <w:r>
              <w:rPr>
                <w:color w:val="000000"/>
                <w:rFonts w:ascii="宋体" w:hAnsi="宋体"/>
                <w:sz w:val="24"/>
                <w:szCs w:val="24"/>
              </w:rPr>
              <w:t>经济效益</w:t>
            </w:r>
            <w:r>
              <w:rPr>
                <w:color w:val="000000"/>
                <w:rFonts w:ascii="宋体" w:hAnsi="宋体"/>
                <w:sz w:val="24"/>
                <w:szCs w:val="24"/>
              </w:rPr>
              <w:t> </w:t>
            </w:r>
            <w:r>
              <w:rPr>
                <w:color w:val="000000"/>
                <w:rFonts w:ascii="宋体" w:hAnsi="宋体"/>
                <w:sz w:val="24"/>
                <w:szCs w:val="24"/>
              </w:rPr>
              <w:t>指标</w:t>
            </w:r>
          </w:p>
        </w:tc>
        <w:tc>
          <w:tcPr>
            <w:tcBorders>
              <w:top w:val="single" w:sz="4" w:color="000000" w:space="0"/>
              <w:bottom w:val="single" w:sz="4" w:color="000000" w:space="0"/>
              <w:left w:val="single" w:sz="4" w:color="000000" w:space="0"/>
              <w:right w:val="single" w:sz="4" w:color="000000" w:space="0"/>
            </w:tcBorders>
            <w:vAlign w:val="center"/>
            <w:tcW w:w="0" w:type="nil"/>
          </w:tcPr>
          <w:p>
            <w:pPr>
              <w:pStyle w:val=""/>
              <w:jc w:val="center"/>
            </w:pPr>
          </w:p>
        </w:tc>
        <w:tc>
          <w:tcPr>
            <w:gridSpan w:val="2"/>
            <w:tcBorders>
              <w:top w:val="single" w:sz="4" w:color="000000" w:space="0"/>
              <w:bottom w:val="single" w:sz="4" w:color="000000" w:space="0"/>
              <w:left w:val="single" w:sz="4" w:color="000000" w:space="0"/>
              <w:right w:val="single" w:sz="4" w:color="000000" w:space="0"/>
            </w:tcBorders>
            <w:vAlign w:val="center"/>
            <w:tcW w:w="0" w:type="nil"/>
          </w:tcPr>
          <w:p>
            <w:pPr>
              <w:pStyle w:val=""/>
              <w:jc w:val="center"/>
            </w:pPr>
          </w:p>
        </w:tc>
      </w:tr>
      <w:tr>
        <w:trPr>
          <w:trHeight w:val="776" w:hRule="atLeast"/>
        </w:trPr>
        <w:tc>
          <w:tcPr>
            <w:vMerge/>
            <w:tcBorders>
              <w:top w:val="single" w:sz="4" w:color="000000" w:space="0"/>
              <w:bottom w:val="single" w:sz="4" w:color="000000" w:space="0"/>
              <w:left w:val="single" w:sz="4" w:color="000000" w:space="0"/>
              <w:right w:val="single" w:sz="4" w:color="000000" w:space="0"/>
            </w:tcBorders>
          </w:tcPr>
          <w:p/>
        </w:tc>
        <w:tc>
          <w:tcPr>
            <w:vMerge/>
            <w:tcBorders>
              <w:top w:val="single" w:sz="4" w:color="000000" w:space="0"/>
              <w:bottom w:val="single" w:sz="4" w:color="000000" w:space="0"/>
              <w:left w:val="single" w:sz="4" w:color="000000" w:space="0"/>
              <w:right w:val="single" w:sz="4" w:color="000000" w:space="0"/>
            </w:tcBorders>
          </w:tcPr>
          <w:p/>
        </w:tc>
        <w:tc>
          <w:tcPr>
            <w:tcBorders>
              <w:top w:val="single" w:sz="4" w:color="000000" w:space="0"/>
              <w:bottom w:val="single" w:sz="4" w:color="000000" w:space="0"/>
              <w:left w:val="single" w:sz="4" w:color="000000" w:space="0"/>
              <w:right w:val="single" w:sz="4" w:color="000000" w:space="0"/>
            </w:tcBorders>
            <w:vAlign w:val="center"/>
            <w:tcW w:w="0" w:type="nil"/>
          </w:tcPr>
          <w:p>
            <w:pPr>
              <w:pStyle w:val=""/>
              <w:jc w:val="center"/>
            </w:pPr>
            <w:r>
              <w:rPr>
                <w:color w:val="000000"/>
                <w:rFonts w:ascii="宋体" w:hAnsi="宋体"/>
                <w:sz w:val="24"/>
                <w:szCs w:val="24"/>
              </w:rPr>
              <w:t>社会效益</w:t>
            </w:r>
            <w:r>
              <w:rPr>
                <w:color w:val="000000"/>
                <w:rFonts w:ascii="宋体" w:hAnsi="宋体"/>
                <w:sz w:val="24"/>
                <w:szCs w:val="24"/>
              </w:rPr>
              <w:t> </w:t>
            </w:r>
            <w:r>
              <w:rPr>
                <w:color w:val="000000"/>
                <w:rFonts w:ascii="宋体" w:hAnsi="宋体"/>
                <w:sz w:val="24"/>
                <w:szCs w:val="24"/>
              </w:rPr>
              <w:t>指标</w:t>
            </w:r>
          </w:p>
        </w:tc>
        <w:tc>
          <w:tcPr>
            <w:tcBorders>
              <w:top w:val="single" w:sz="4" w:color="000000" w:space="0"/>
              <w:bottom w:val="single" w:sz="4" w:color="000000" w:space="0"/>
              <w:left w:val="single" w:sz="4" w:color="000000" w:space="0"/>
              <w:right w:val="single" w:sz="4" w:color="000000" w:space="0"/>
            </w:tcBorders>
            <w:vAlign w:val="center"/>
            <w:tcW w:w="0" w:type="nil"/>
          </w:tcPr>
          <w:p>
            <w:pPr>
              <w:pStyle w:val=""/>
              <w:jc w:val="center"/>
            </w:pPr>
          </w:p>
        </w:tc>
        <w:tc>
          <w:tcPr>
            <w:gridSpan w:val="2"/>
            <w:tcBorders>
              <w:top w:val="single" w:sz="4" w:color="000000" w:space="0"/>
              <w:bottom w:val="single" w:sz="4" w:color="000000" w:space="0"/>
              <w:left w:val="single" w:sz="4" w:color="000000" w:space="0"/>
              <w:right w:val="single" w:sz="4" w:color="000000" w:space="0"/>
            </w:tcBorders>
            <w:vAlign w:val="center"/>
            <w:tcW w:w="0" w:type="nil"/>
          </w:tcPr>
          <w:p>
            <w:pPr>
              <w:pStyle w:val=""/>
              <w:jc w:val="center"/>
            </w:pPr>
          </w:p>
        </w:tc>
      </w:tr>
      <w:tr>
        <w:trPr>
          <w:trHeight w:val="894" w:hRule="atLeast"/>
        </w:trPr>
        <w:tc>
          <w:tcPr>
            <w:vMerge/>
            <w:tcBorders>
              <w:top w:val="single" w:sz="4" w:color="000000" w:space="0"/>
              <w:bottom w:val="single" w:sz="4" w:color="000000" w:space="0"/>
              <w:left w:val="single" w:sz="4" w:color="000000" w:space="0"/>
              <w:right w:val="single" w:sz="4" w:color="000000" w:space="0"/>
            </w:tcBorders>
          </w:tcPr>
          <w:p/>
        </w:tc>
        <w:tc>
          <w:tcPr>
            <w:vMerge/>
            <w:tcBorders>
              <w:top w:val="single" w:sz="4" w:color="000000" w:space="0"/>
              <w:bottom w:val="single" w:sz="4" w:color="000000" w:space="0"/>
              <w:left w:val="single" w:sz="4" w:color="000000" w:space="0"/>
              <w:right w:val="single" w:sz="4" w:color="000000" w:space="0"/>
            </w:tcBorders>
          </w:tcPr>
          <w:p/>
        </w:tc>
        <w:tc>
          <w:tcPr>
            <w:tcBorders>
              <w:top w:val="single" w:sz="4" w:color="000000" w:space="0"/>
              <w:bottom w:val="single" w:sz="4" w:color="000000" w:space="0"/>
              <w:left w:val="single" w:sz="4" w:color="000000" w:space="0"/>
              <w:right w:val="single" w:sz="4" w:color="000000" w:space="0"/>
            </w:tcBorders>
            <w:vAlign w:val="center"/>
            <w:tcW w:w="0" w:type="nil"/>
          </w:tcPr>
          <w:p>
            <w:pPr>
              <w:pStyle w:val=""/>
              <w:jc w:val="center"/>
            </w:pPr>
            <w:r>
              <w:rPr>
                <w:color w:val="000000"/>
                <w:rFonts w:ascii="宋体" w:hAnsi="宋体"/>
                <w:sz w:val="24"/>
                <w:szCs w:val="24"/>
              </w:rPr>
              <w:t>生态效益</w:t>
            </w:r>
            <w:r>
              <w:rPr>
                <w:color w:val="000000"/>
                <w:rFonts w:ascii="宋体" w:hAnsi="宋体"/>
                <w:sz w:val="24"/>
                <w:szCs w:val="24"/>
              </w:rPr>
              <w:t> </w:t>
            </w:r>
            <w:r>
              <w:rPr>
                <w:color w:val="000000"/>
                <w:rFonts w:ascii="宋体" w:hAnsi="宋体"/>
                <w:sz w:val="24"/>
                <w:szCs w:val="24"/>
              </w:rPr>
              <w:t>指标</w:t>
            </w:r>
          </w:p>
        </w:tc>
        <w:tc>
          <w:tcPr>
            <w:tcBorders>
              <w:top w:val="single" w:sz="4" w:color="000000" w:space="0"/>
              <w:bottom w:val="single" w:sz="4" w:color="000000" w:space="0"/>
              <w:left w:val="single" w:sz="4" w:color="000000" w:space="0"/>
              <w:right w:val="single" w:sz="4" w:color="000000" w:space="0"/>
            </w:tcBorders>
            <w:vAlign w:val="center"/>
            <w:tcW w:w="0" w:type="nil"/>
          </w:tcPr>
          <w:p>
            <w:pPr>
              <w:pStyle w:val=""/>
              <w:jc w:val="center"/>
            </w:pPr>
            <w:r>
              <w:rPr>
                <w:color w:val="000000"/>
                <w:rFonts w:ascii="宋体" w:hAnsi="宋体"/>
                <w:sz w:val="24"/>
                <w:szCs w:val="24"/>
              </w:rPr>
              <w:t>农村人居环境有所改善</w:t>
            </w:r>
          </w:p>
        </w:tc>
        <w:tc>
          <w:tcPr>
            <w:gridSpan w:val="2"/>
            <w:tcBorders>
              <w:top w:val="single" w:sz="4" w:color="000000" w:space="0"/>
              <w:bottom w:val="single" w:sz="4" w:color="000000" w:space="0"/>
              <w:left w:val="single" w:sz="4" w:color="000000" w:space="0"/>
              <w:right w:val="single" w:sz="4" w:color="000000" w:space="0"/>
            </w:tcBorders>
            <w:vAlign w:val="center"/>
            <w:tcW w:w="0" w:type="nil"/>
          </w:tcPr>
          <w:p>
            <w:pPr>
              <w:pStyle w:val=""/>
              <w:jc w:val="center"/>
            </w:pPr>
            <w:r>
              <w:rPr>
                <w:color w:val="000000"/>
                <w:rFonts w:ascii="宋体" w:hAnsi="宋体"/>
                <w:sz w:val="24"/>
                <w:szCs w:val="24"/>
              </w:rPr>
              <w:t>有所改善</w:t>
            </w:r>
          </w:p>
        </w:tc>
      </w:tr>
      <w:tr>
        <w:trPr>
          <w:trHeight w:val="623" w:hRule="atLeast"/>
        </w:trPr>
        <w:tc>
          <w:tcPr>
            <w:vMerge/>
            <w:tcBorders>
              <w:top w:val="single" w:sz="4" w:color="000000" w:space="0"/>
              <w:bottom w:val="single" w:sz="4" w:color="000000" w:space="0"/>
              <w:left w:val="single" w:sz="4" w:color="000000" w:space="0"/>
              <w:right w:val="single" w:sz="4" w:color="000000" w:space="0"/>
            </w:tcBorders>
          </w:tcPr>
          <w:p/>
        </w:tc>
        <w:tc>
          <w:tcPr>
            <w:vMerge/>
            <w:tcBorders>
              <w:top w:val="single" w:sz="4" w:color="000000" w:space="0"/>
              <w:bottom w:val="single" w:sz="4" w:color="000000" w:space="0"/>
              <w:left w:val="single" w:sz="4" w:color="000000" w:space="0"/>
              <w:right w:val="single" w:sz="4" w:color="000000" w:space="0"/>
            </w:tcBorders>
          </w:tcPr>
          <w:p/>
        </w:tc>
        <w:tc>
          <w:tcPr>
            <w:tcBorders>
              <w:top w:val="single" w:sz="4" w:color="000000" w:space="0"/>
              <w:bottom w:val="single" w:sz="4" w:color="000000" w:space="0"/>
              <w:left w:val="single" w:sz="4" w:color="000000" w:space="0"/>
              <w:right w:val="single" w:sz="4" w:color="000000" w:space="0"/>
            </w:tcBorders>
            <w:vAlign w:val="center"/>
            <w:tcW w:w="0" w:type="nil"/>
          </w:tcPr>
          <w:p>
            <w:pPr>
              <w:pStyle w:val=""/>
              <w:jc w:val="center"/>
            </w:pPr>
            <w:r>
              <w:rPr>
                <w:color w:val="000000"/>
                <w:rFonts w:ascii="宋体" w:hAnsi="宋体"/>
                <w:sz w:val="24"/>
                <w:szCs w:val="24"/>
              </w:rPr>
              <w:t>可持续影响</w:t>
            </w:r>
            <w:r>
              <w:rPr>
                <w:color w:val="000000"/>
                <w:rFonts w:ascii="宋体" w:hAnsi="宋体"/>
                <w:sz w:val="24"/>
                <w:szCs w:val="24"/>
              </w:rPr>
              <w:t> </w:t>
            </w:r>
            <w:r>
              <w:rPr>
                <w:color w:val="000000"/>
                <w:rFonts w:ascii="宋体" w:hAnsi="宋体"/>
                <w:sz w:val="24"/>
                <w:szCs w:val="24"/>
              </w:rPr>
              <w:t>指标</w:t>
            </w:r>
          </w:p>
        </w:tc>
        <w:tc>
          <w:tcPr>
            <w:tcBorders>
              <w:top w:val="single" w:sz="4" w:color="000000" w:space="0"/>
              <w:bottom w:val="single" w:sz="4" w:color="000000" w:space="0"/>
              <w:left w:val="single" w:sz="4" w:color="000000" w:space="0"/>
              <w:right w:val="single" w:sz="4" w:color="000000" w:space="0"/>
            </w:tcBorders>
            <w:vAlign w:val="center"/>
            <w:tcW w:w="0" w:type="nil"/>
          </w:tcPr>
          <w:p>
            <w:pPr>
              <w:pStyle w:val=""/>
              <w:jc w:val="center"/>
            </w:pPr>
          </w:p>
        </w:tc>
        <w:tc>
          <w:tcPr>
            <w:gridSpan w:val="2"/>
            <w:tcBorders>
              <w:top w:val="single" w:sz="4" w:color="000000" w:space="0"/>
              <w:bottom w:val="single" w:sz="4" w:color="000000" w:space="0"/>
              <w:left w:val="single" w:sz="4" w:color="000000" w:space="0"/>
              <w:right w:val="single" w:sz="4" w:color="000000" w:space="0"/>
            </w:tcBorders>
            <w:vAlign w:val="center"/>
            <w:tcW w:w="0" w:type="nil"/>
          </w:tcPr>
          <w:p>
            <w:pPr>
              <w:pStyle w:val=""/>
              <w:jc w:val="center"/>
            </w:pPr>
          </w:p>
        </w:tc>
      </w:tr>
      <w:tr>
        <w:trPr>
          <w:trHeight w:val="864" w:hRule="atLeast"/>
        </w:trPr>
        <w:tc>
          <w:tcPr>
            <w:vMerge/>
            <w:tcBorders>
              <w:top w:val="single" w:sz="4" w:color="000000" w:space="0"/>
              <w:bottom w:val="single" w:sz="4" w:color="000000" w:space="0"/>
              <w:left w:val="single" w:sz="4" w:color="000000" w:space="0"/>
              <w:right w:val="single" w:sz="4" w:color="000000" w:space="0"/>
            </w:tcBorders>
          </w:tcPr>
          <w:p/>
        </w:tc>
        <w:tc>
          <w:tcPr>
            <w:tcBorders>
              <w:top w:val="single" w:sz="4" w:color="000000" w:space="0"/>
              <w:bottom w:val="single" w:sz="4" w:color="000000" w:space="0"/>
              <w:left w:val="single" w:sz="4" w:color="000000" w:space="0"/>
              <w:right w:val="single" w:sz="4" w:color="000000" w:space="0"/>
            </w:tcBorders>
            <w:vAlign w:val="center"/>
            <w:tcW w:w="0" w:type="nil"/>
          </w:tcPr>
          <w:p>
            <w:pPr>
              <w:pStyle w:val=""/>
              <w:jc w:val="center"/>
            </w:pPr>
            <w:r>
              <w:rPr>
                <w:color w:val="000000"/>
                <w:rFonts w:ascii="宋体" w:hAnsi="宋体"/>
                <w:sz w:val="24"/>
                <w:szCs w:val="24"/>
              </w:rPr>
              <w:t>满意度指标</w:t>
            </w:r>
          </w:p>
        </w:tc>
        <w:tc>
          <w:tcPr>
            <w:tcBorders>
              <w:top w:val="single" w:sz="4" w:color="000000" w:space="0"/>
              <w:bottom w:val="single" w:sz="4" w:color="000000" w:space="0"/>
              <w:left w:val="single" w:sz="4" w:color="000000" w:space="0"/>
              <w:right w:val="single" w:sz="4" w:color="000000" w:space="0"/>
            </w:tcBorders>
            <w:vAlign w:val="center"/>
            <w:tcW w:w="0" w:type="nil"/>
          </w:tcPr>
          <w:p>
            <w:pPr>
              <w:pStyle w:val=""/>
              <w:jc w:val="center"/>
            </w:pPr>
            <w:r>
              <w:rPr>
                <w:color w:val="000000"/>
                <w:rFonts w:ascii="宋体" w:hAnsi="宋体"/>
                <w:sz w:val="24"/>
                <w:szCs w:val="24"/>
              </w:rPr>
              <w:t>服务对象</w:t>
            </w:r>
            <w:r>
              <w:rPr>
                <w:color w:val="000000"/>
                <w:rFonts w:ascii="宋体" w:hAnsi="宋体"/>
                <w:sz w:val="24"/>
                <w:szCs w:val="24"/>
              </w:rPr>
              <w:t> </w:t>
            </w:r>
            <w:r>
              <w:rPr>
                <w:color w:val="000000"/>
                <w:rFonts w:ascii="宋体" w:hAnsi="宋体"/>
                <w:sz w:val="24"/>
                <w:szCs w:val="24"/>
              </w:rPr>
              <w:t>满意度指标</w:t>
            </w:r>
          </w:p>
        </w:tc>
        <w:tc>
          <w:tcPr>
            <w:tcBorders>
              <w:top w:val="single" w:sz="4" w:color="000000" w:space="0"/>
              <w:bottom w:val="single" w:sz="4" w:color="000000" w:space="0"/>
              <w:left w:val="single" w:sz="4" w:color="000000" w:space="0"/>
              <w:right w:val="single" w:sz="4" w:color="000000" w:space="0"/>
            </w:tcBorders>
            <w:vAlign w:val="center"/>
            <w:tcW w:w="0" w:type="nil"/>
          </w:tcPr>
          <w:p>
            <w:pPr>
              <w:pStyle w:val=""/>
              <w:jc w:val="center"/>
            </w:pPr>
            <w:r>
              <w:rPr>
                <w:color w:val="000000"/>
                <w:rFonts w:ascii="宋体" w:hAnsi="宋体"/>
                <w:sz w:val="24"/>
                <w:szCs w:val="24"/>
              </w:rPr>
              <w:t>辖区内居民满意度</w:t>
            </w:r>
          </w:p>
        </w:tc>
        <w:tc>
          <w:tcPr>
            <w:gridSpan w:val="2"/>
            <w:tcBorders>
              <w:top w:val="single" w:sz="4" w:color="000000" w:space="0"/>
              <w:bottom w:val="single" w:sz="4" w:color="000000" w:space="0"/>
              <w:left w:val="single" w:sz="4" w:color="000000" w:space="0"/>
              <w:right w:val="single" w:sz="4" w:color="000000" w:space="0"/>
            </w:tcBorders>
            <w:vAlign w:val="center"/>
            <w:tcW w:w="0" w:type="nil"/>
          </w:tcPr>
          <w:p>
            <w:pPr>
              <w:pStyle w:val=""/>
              <w:jc w:val="center"/>
            </w:pPr>
            <w:r>
              <w:rPr>
                <w:color w:val="000000"/>
                <w:rFonts w:ascii="宋体" w:hAnsi="宋体"/>
                <w:sz w:val="24"/>
                <w:szCs w:val="24"/>
              </w:rPr>
              <w:t>≧98%</w:t>
            </w:r>
          </w:p>
        </w:tc>
      </w:tr>
    </w:tbl>
    <w:p>
      <w:pPr>
        <w:pStyle w:val=""/>
        <w:jc w:val="both"/>
        <w:spacing w:before="0" w:after="0" w:line="600" w:lineRule="exact"/>
        <w:rPr>
          <w:color w:val="000000"/>
          <w:rFonts w:ascii="Times New Roman" w:hAnsi="Times New Roman"/>
          <w:sz w:val="21"/>
          <w:szCs w:val="21"/>
        </w:rPr>
      </w:pPr>
    </w:p>
    <w:p>
      <w:pPr>
        <w:pStyle w:val=""/>
        <w:jc w:val="both"/>
        <w:ind w:firstLine="640"/>
        <w:spacing w:before="0" w:after="0" w:line="600" w:lineRule="exact"/>
        <w:rPr>
          <w:color w:val="000000"/>
          <w:rFonts w:ascii="Times New Roman" w:hAnsi="Times New Roman"/>
          <w:sz w:val="21"/>
          <w:szCs w:val="21"/>
        </w:rPr>
      </w:pPr>
      <w:r>
        <w:rPr>
          <w:b/>
          <w:color w:val="000000"/>
          <w:rFonts w:ascii="仿宋_GB2312" w:hAnsi="仿宋"/>
          <w:sz w:val="32"/>
          <w:szCs w:val="32"/>
          <w:shd w:fill="FFFFFF"/>
        </w:rPr>
        <w:t>（二）机关运行经费。</w:t>
      </w:r>
    </w:p>
    <w:p>
      <w:pPr>
        <w:pStyle w:val=""/>
        <w:ind w:firstLine="627"/>
        <w:spacing w:before="0" w:after="0" w:line="600" w:lineRule="exact"/>
      </w:pPr>
      <w:r>
        <w:rPr>
          <w:color w:val="000000"/>
          <w:rFonts w:ascii="仿宋_GB2312" w:hAnsi="仿宋_GB2312"/>
          <w:sz w:val="32"/>
          <w:szCs w:val="32"/>
          <w:shd w:fill="FFFFFF"/>
        </w:rPr>
        <w:t>烈山区财政局</w:t>
      </w:r>
      <w:r>
        <w:rPr>
          <w:color w:val="000000"/>
          <w:rFonts w:ascii="仿宋_GB2312" w:hAnsi="仿宋"/>
          <w:sz w:val="32"/>
          <w:szCs w:val="32"/>
          <w:shd w:fill="FFFFFF"/>
        </w:rPr>
        <w:t>（本级）</w:t>
      </w:r>
      <w:r>
        <w:rPr>
          <w:color w:val="000000"/>
          <w:rFonts w:ascii="仿宋_GB2312" w:hAnsi="仿宋_GB2312"/>
          <w:sz w:val="32"/>
          <w:szCs w:val="32"/>
        </w:rPr>
        <w:t>202</w:t>
      </w:r>
      <w:r>
        <w:rPr>
          <w:color w:val="000000"/>
          <w:rFonts w:ascii="仿宋_GB2312" w:hAnsi="仿宋_GB2312"/>
          <w:sz w:val="32"/>
          <w:szCs w:val="32"/>
        </w:rPr>
        <w:t>3</w:t>
      </w:r>
      <w:r>
        <w:rPr>
          <w:color w:val="000000"/>
          <w:rFonts w:ascii="仿宋_GB2312" w:hAnsi="仿宋_GB2312"/>
          <w:sz w:val="32"/>
          <w:szCs w:val="32"/>
        </w:rPr>
        <w:t>年机关运行经费财政拨款预算</w:t>
      </w:r>
      <w:r>
        <w:rPr>
          <w:color w:val="000000"/>
          <w:rFonts w:ascii="仿宋_GB2312" w:hAnsi="仿宋_GB2312"/>
          <w:sz w:val="32"/>
          <w:szCs w:val="32"/>
        </w:rPr>
        <w:t>316.92</w:t>
      </w:r>
      <w:r>
        <w:rPr>
          <w:color w:val="000000"/>
          <w:rFonts w:ascii="仿宋_GB2312" w:hAnsi="仿宋_GB2312"/>
          <w:sz w:val="32"/>
          <w:szCs w:val="32"/>
        </w:rPr>
        <w:t>万元，比202</w:t>
      </w:r>
      <w:r>
        <w:rPr>
          <w:color w:val="000000"/>
          <w:rFonts w:ascii="仿宋_GB2312" w:hAnsi="仿宋_GB2312"/>
          <w:sz w:val="32"/>
          <w:szCs w:val="32"/>
        </w:rPr>
        <w:t>2</w:t>
      </w:r>
      <w:r>
        <w:rPr>
          <w:color w:val="000000"/>
          <w:rFonts w:ascii="仿宋_GB2312" w:hAnsi="仿宋_GB2312"/>
          <w:sz w:val="32"/>
          <w:szCs w:val="32"/>
        </w:rPr>
        <w:t>年预算</w:t>
      </w:r>
      <w:r>
        <w:rPr>
          <w:color w:val="000000"/>
          <w:rFonts w:ascii="仿宋_GB2312" w:hAnsi="仿宋_GB2312"/>
          <w:sz w:val="32"/>
          <w:szCs w:val="32"/>
        </w:rPr>
        <w:t>增加</w:t>
      </w:r>
      <w:r>
        <w:rPr>
          <w:color w:val="000000"/>
          <w:rFonts w:ascii="仿宋_GB2312" w:hAnsi="仿宋_GB2312"/>
          <w:sz w:val="32"/>
          <w:szCs w:val="32"/>
        </w:rPr>
        <w:t>64.38</w:t>
      </w:r>
      <w:r>
        <w:rPr>
          <w:color w:val="000000"/>
          <w:rFonts w:ascii="仿宋_GB2312" w:hAnsi="仿宋_GB2312"/>
          <w:sz w:val="32"/>
          <w:szCs w:val="32"/>
        </w:rPr>
        <w:t>万元</w:t>
      </w:r>
      <w:r>
        <w:rPr>
          <w:color w:val="000000"/>
          <w:rFonts w:ascii="仿宋_GB2312" w:hAnsi="仿宋_GB2312"/>
          <w:sz w:val="32"/>
          <w:szCs w:val="32"/>
        </w:rPr>
        <w:t>，增长</w:t>
      </w:r>
      <w:r>
        <w:rPr>
          <w:color w:val="000000"/>
          <w:rFonts w:ascii="仿宋_GB2312" w:hAnsi="仿宋_GB2312"/>
          <w:sz w:val="32"/>
          <w:szCs w:val="32"/>
        </w:rPr>
        <w:t>25.49</w:t>
      </w:r>
      <w:r>
        <w:rPr>
          <w:color w:val="000000"/>
          <w:rFonts w:ascii="仿宋_GB2312" w:hAnsi="仿宋_GB2312"/>
          <w:sz w:val="32"/>
          <w:szCs w:val="32"/>
        </w:rPr>
        <w:t>%，</w:t>
      </w:r>
      <w:r>
        <w:rPr>
          <w:color w:val="000000"/>
          <w:rFonts w:ascii="仿宋_GB2312" w:hAnsi="仿宋_GB2312"/>
          <w:sz w:val="32"/>
          <w:szCs w:val="32"/>
        </w:rPr>
        <w:t>增长</w:t>
      </w:r>
      <w:r>
        <w:rPr>
          <w:color w:val="000000"/>
          <w:rFonts w:ascii="仿宋_GB2312" w:hAnsi="仿宋_GB2312"/>
          <w:sz w:val="32"/>
          <w:szCs w:val="32"/>
        </w:rPr>
        <w:t>主要原因是</w:t>
      </w:r>
      <w:r>
        <w:rPr>
          <w:color w:val="000000"/>
          <w:rFonts w:ascii="仿宋_GB2312" w:hAnsi="仿宋_GB2312"/>
          <w:sz w:val="32"/>
          <w:szCs w:val="32"/>
          <w:shd w:fill="FFFFFF"/>
        </w:rPr>
        <w:t>新增人员、工资和保险调增等。</w:t>
      </w:r>
    </w:p>
    <w:p>
      <w:pPr>
        <w:pStyle w:val=""/>
        <w:jc w:val="both"/>
        <w:ind w:left="627"/>
        <w:ind w:right="0"/>
        <w:spacing w:before="0" w:after="0" w:line="600" w:lineRule="exact"/>
        <w:rPr>
          <w:b/>
          <w:color w:val="000000"/>
          <w:rFonts w:ascii="仿宋_GB2312" w:hAnsi="仿宋_GB2312"/>
          <w:sz w:val="32"/>
          <w:szCs w:val="32"/>
          <w:shd w:fill="FFFFFF"/>
        </w:rPr>
      </w:pPr>
      <w:r>
        <w:rPr>
          <w:b/>
          <w:color w:val="000000"/>
          <w:rFonts w:ascii="仿宋_GB2312" w:hAnsi="仿宋_GB2312"/>
          <w:sz w:val="32"/>
          <w:szCs w:val="32"/>
          <w:shd w:fill="FFFFFF"/>
        </w:rPr>
        <w:t>（三）</w:t>
      </w:r>
      <w:r>
        <w:rPr>
          <w:b/>
          <w:color w:val="000000"/>
          <w:rFonts w:ascii="仿宋_GB2312" w:hAnsi="仿宋_GB2312"/>
          <w:sz w:val="32"/>
          <w:szCs w:val="32"/>
          <w:shd w:fill="FFFFFF"/>
        </w:rPr>
        <w:t>政府采购情况。</w:t>
      </w:r>
    </w:p>
    <w:p>
      <w:pPr>
        <w:pStyle w:val=""/>
        <w:jc w:val="both"/>
        <w:ind w:firstLine="640"/>
        <w:spacing w:before="0" w:after="0" w:line="600" w:lineRule="exact"/>
        <w:rPr>
          <w:color w:val="000000"/>
          <w:rFonts w:ascii="仿宋" w:hAnsi="仿宋"/>
          <w:sz w:val="32"/>
          <w:szCs w:val="32"/>
          <w:shd w:fill="FFFFFF"/>
        </w:rPr>
      </w:pPr>
      <w:r>
        <w:rPr>
          <w:color w:val="000000"/>
          <w:rFonts w:ascii="仿宋_GB2312" w:hAnsi="仿宋"/>
          <w:sz w:val="32"/>
          <w:szCs w:val="32"/>
          <w:shd w:fill="FFFFFF"/>
        </w:rPr>
        <w:t>烈山区财政局</w:t>
      </w:r>
      <w:r>
        <w:rPr>
          <w:color w:val="000000"/>
          <w:rFonts w:ascii="仿宋_GB2312" w:hAnsi="仿宋"/>
          <w:sz w:val="32"/>
          <w:szCs w:val="32"/>
          <w:shd w:fill="FFFFFF"/>
        </w:rPr>
        <w:t>（本级）</w:t>
      </w:r>
      <w:r>
        <w:rPr>
          <w:color w:val="000000"/>
          <w:rFonts w:ascii="仿宋" w:hAnsi="仿宋"/>
          <w:sz w:val="32"/>
          <w:szCs w:val="32"/>
          <w:shd w:fill="FFFFFF"/>
        </w:rPr>
        <w:t>2023</w:t>
      </w:r>
      <w:r>
        <w:rPr>
          <w:color w:val="000000"/>
          <w:rFonts w:ascii="仿宋" w:hAnsi="仿宋"/>
          <w:sz w:val="32"/>
          <w:szCs w:val="32"/>
          <w:shd w:fill="FFFFFF"/>
        </w:rPr>
        <w:t>年政府采购预算总额</w:t>
      </w:r>
      <w:r>
        <w:rPr>
          <w:color w:val="000000"/>
          <w:rFonts w:ascii="仿宋" w:hAnsi="仿宋"/>
          <w:sz w:val="32"/>
          <w:szCs w:val="32"/>
          <w:shd w:fill="FFFFFF"/>
        </w:rPr>
        <w:t>5.56万元，</w:t>
      </w:r>
      <w:r>
        <w:rPr>
          <w:color w:val="000000"/>
          <w:rFonts w:ascii="仿宋" w:hAnsi="仿宋"/>
          <w:sz w:val="32"/>
          <w:szCs w:val="32"/>
          <w:shd w:fill="FFFFFF"/>
        </w:rPr>
        <w:t>其中：政府采购货物预算</w:t>
      </w:r>
      <w:r>
        <w:rPr>
          <w:color w:val="000000"/>
          <w:rFonts w:ascii="仿宋" w:hAnsi="仿宋"/>
          <w:sz w:val="32"/>
          <w:szCs w:val="32"/>
          <w:shd w:fill="FFFFFF"/>
        </w:rPr>
        <w:t>0万元，政府采购工程预算0万元，政府采购服务预算</w:t>
      </w:r>
      <w:r>
        <w:rPr>
          <w:color w:val="000000"/>
          <w:rFonts w:ascii="仿宋" w:hAnsi="仿宋"/>
          <w:sz w:val="32"/>
          <w:szCs w:val="32"/>
          <w:shd w:fill="FFFFFF"/>
        </w:rPr>
        <w:t>5.56</w:t>
      </w:r>
      <w:r>
        <w:rPr>
          <w:color w:val="000000"/>
          <w:rFonts w:ascii="仿宋" w:hAnsi="仿宋"/>
          <w:sz w:val="32"/>
          <w:szCs w:val="32"/>
          <w:shd w:fill="FFFFFF"/>
        </w:rPr>
        <w:t>万元。</w:t>
      </w:r>
    </w:p>
    <w:p>
      <w:pPr>
        <w:pStyle w:val=""/>
        <w:jc w:val="both"/>
        <w:ind w:left="640"/>
        <w:ind w:right="0"/>
        <w:spacing w:before="0" w:after="0" w:line="600" w:lineRule="exact"/>
        <w:rPr>
          <w:b/>
          <w:color w:val="000000"/>
          <w:rFonts w:ascii="仿宋_GB2312" w:hAnsi="仿宋"/>
          <w:sz w:val="32"/>
          <w:szCs w:val="32"/>
          <w:shd w:fill="FFFFFF"/>
        </w:rPr>
      </w:pPr>
      <w:r>
        <w:rPr>
          <w:b/>
          <w:color w:val="000000"/>
          <w:rFonts w:ascii="仿宋_GB2312" w:hAnsi="仿宋"/>
          <w:sz w:val="32"/>
          <w:szCs w:val="32"/>
          <w:shd w:fill="FFFFFF"/>
        </w:rPr>
        <w:t>（四）</w:t>
      </w:r>
      <w:r>
        <w:rPr>
          <w:b/>
          <w:color w:val="000000"/>
          <w:rFonts w:ascii="仿宋_GB2312" w:hAnsi="仿宋"/>
          <w:sz w:val="32"/>
          <w:szCs w:val="32"/>
          <w:shd w:fill="FFFFFF"/>
        </w:rPr>
        <w:t>国有资产占有使用情况</w:t>
      </w:r>
    </w:p>
    <w:p>
      <w:pPr>
        <w:pStyle w:val=""/>
        <w:jc w:val="both"/>
        <w:ind w:right="0"/>
        <w:ind w:firstLine="640"/>
        <w:spacing w:before="0" w:after="0" w:line="600" w:lineRule="exact"/>
        <w:rPr>
          <w:color w:val="000000"/>
          <w:rFonts w:ascii="仿宋_GB2312" w:hAnsi="仿宋"/>
          <w:sz w:val="32"/>
          <w:szCs w:val="32"/>
          <w:shd w:fill="FFFFFF"/>
        </w:rPr>
      </w:pPr>
      <w:r>
        <w:rPr>
          <w:color w:val="000000"/>
          <w:rFonts w:ascii="仿宋_GB2312" w:hAnsi="仿宋_GB2312"/>
          <w:sz w:val="32"/>
          <w:szCs w:val="32"/>
        </w:rPr>
        <w:t>截至202</w:t>
      </w:r>
      <w:r>
        <w:rPr>
          <w:color w:val="000000"/>
          <w:rFonts w:ascii="仿宋_GB2312" w:hAnsi="仿宋_GB2312"/>
          <w:sz w:val="32"/>
          <w:szCs w:val="32"/>
        </w:rPr>
        <w:t>2</w:t>
      </w:r>
      <w:r>
        <w:rPr>
          <w:color w:val="000000"/>
          <w:rFonts w:ascii="仿宋_GB2312" w:hAnsi="仿宋_GB2312"/>
          <w:sz w:val="32"/>
          <w:szCs w:val="32"/>
        </w:rPr>
        <w:t>年12月31日</w:t>
      </w:r>
      <w:r>
        <w:rPr>
          <w:color w:val="000000"/>
          <w:rFonts w:ascii="仿宋_GB2312" w:hAnsi="仿宋_GB2312"/>
          <w:sz w:val="32"/>
          <w:szCs w:val="32"/>
        </w:rPr>
        <w:t>，</w:t>
      </w:r>
      <w:r>
        <w:rPr>
          <w:color w:val="000000"/>
          <w:rFonts w:ascii="仿宋_GB2312" w:hAnsi="仿宋_GB2312"/>
          <w:sz w:val="32"/>
          <w:szCs w:val="32"/>
          <w:shd w:fill="FFFFFF"/>
        </w:rPr>
        <w:t>烈山区财政局</w:t>
      </w:r>
      <w:r>
        <w:rPr>
          <w:color w:val="000000"/>
          <w:rFonts w:ascii="仿宋_GB2312" w:hAnsi="仿宋"/>
          <w:sz w:val="32"/>
          <w:szCs w:val="32"/>
          <w:shd w:fill="FFFFFF"/>
        </w:rPr>
        <w:t>（本级）</w:t>
      </w:r>
      <w:r>
        <w:rPr>
          <w:color w:val="000000"/>
          <w:rFonts w:ascii="仿宋_GB2312" w:hAnsi="仿宋_GB2312"/>
          <w:sz w:val="32"/>
          <w:szCs w:val="32"/>
          <w:shd w:fill="FFFFFF"/>
        </w:rPr>
        <w:t>无车辆，</w:t>
      </w:r>
      <w:r>
        <w:rPr>
          <w:color w:val="000000"/>
          <w:rFonts w:ascii="仿宋_GB2312" w:hAnsi="仿宋_GB2312"/>
          <w:sz w:val="32"/>
          <w:szCs w:val="32"/>
          <w:shd w:fill="FFFFFF"/>
        </w:rPr>
        <w:t>无单</w:t>
      </w:r>
      <w:r>
        <w:rPr>
          <w:color w:val="000000"/>
          <w:rFonts w:ascii="仿宋_GB2312" w:hAnsi="仿宋_GB2312"/>
          <w:sz w:val="32"/>
          <w:szCs w:val="32"/>
          <w:shd w:fill="FFFFFF"/>
        </w:rPr>
        <w:t>价值50万以上的大型设备</w:t>
      </w:r>
      <w:r>
        <w:rPr>
          <w:color w:val="000000"/>
          <w:rFonts w:ascii="仿宋_GB2312" w:hAnsi="仿宋_GB2312"/>
          <w:sz w:val="32"/>
          <w:szCs w:val="32"/>
          <w:shd w:fill="FFFFFF"/>
        </w:rPr>
        <w:t>，无</w:t>
      </w:r>
      <w:r>
        <w:rPr>
          <w:color w:val="000000"/>
          <w:rFonts w:ascii="仿宋_GB2312" w:hAnsi="仿宋_GB2312"/>
          <w:sz w:val="32"/>
          <w:szCs w:val="32"/>
        </w:rPr>
        <w:t>单价100万元以上的专用设备</w:t>
      </w:r>
      <w:r>
        <w:rPr>
          <w:color w:val="000000"/>
          <w:rFonts w:ascii="仿宋_GB2312" w:hAnsi="仿宋_GB2312"/>
          <w:sz w:val="32"/>
          <w:szCs w:val="32"/>
        </w:rPr>
        <w:t>。</w:t>
      </w:r>
    </w:p>
    <w:p>
      <w:pPr>
        <w:pStyle w:val=""/>
        <w:jc w:val="both"/>
        <w:ind w:left="638"/>
        <w:spacing w:before="0" w:after="0" w:line="600" w:lineRule="exact"/>
        <w:rPr>
          <w:color w:val="000000"/>
          <w:rFonts w:ascii="Times New Roman" w:hAnsi="Times New Roman"/>
          <w:sz w:val="21"/>
          <w:szCs w:val="21"/>
        </w:rPr>
      </w:pPr>
      <w:r>
        <w:rPr>
          <w:b/>
          <w:color w:val="000000"/>
          <w:rFonts w:ascii="仿宋_GB2312" w:hAnsi="仿宋"/>
          <w:sz w:val="32"/>
          <w:szCs w:val="32"/>
          <w:shd w:fill="FFFFFF"/>
        </w:rPr>
        <w:t>（</w:t>
      </w:r>
      <w:r>
        <w:rPr>
          <w:b/>
          <w:color w:val="000000"/>
          <w:rFonts w:ascii="仿宋_GB2312" w:hAnsi="仿宋"/>
          <w:sz w:val="32"/>
          <w:szCs w:val="32"/>
          <w:shd w:fill="FFFFFF"/>
        </w:rPr>
        <w:t>五</w:t>
      </w:r>
      <w:r>
        <w:rPr>
          <w:b/>
          <w:color w:val="000000"/>
          <w:rFonts w:ascii="仿宋_GB2312" w:hAnsi="仿宋"/>
          <w:sz w:val="32"/>
          <w:szCs w:val="32"/>
          <w:shd w:fill="FFFFFF"/>
        </w:rPr>
        <w:t>）绩效目标设置情况。</w:t>
      </w:r>
    </w:p>
    <w:p>
      <w:pPr>
        <w:pStyle w:val=""/>
        <w:jc w:val="both"/>
        <w:ind w:firstLine="640"/>
        <w:spacing w:before="0" w:after="0" w:line="600" w:lineRule="exact"/>
        <w:rPr>
          <w:color w:val="000000"/>
          <w:rFonts w:ascii="仿宋_GB2312" w:hAnsi="仿宋_GB2312"/>
          <w:sz w:val="32"/>
          <w:szCs w:val="32"/>
          <w:shd w:fill="FFFFFF"/>
        </w:rPr>
      </w:pPr>
      <w:r>
        <w:rPr>
          <w:color w:val="000000"/>
          <w:rFonts w:ascii="仿宋_GB2312" w:hAnsi="仿宋"/>
          <w:sz w:val="32"/>
          <w:szCs w:val="32"/>
          <w:shd w:fill="FFFFFF"/>
        </w:rPr>
        <w:t>烈山区财政局</w:t>
      </w:r>
      <w:r>
        <w:rPr>
          <w:color w:val="000000"/>
          <w:rFonts w:ascii="仿宋_GB2312" w:hAnsi="仿宋"/>
          <w:sz w:val="32"/>
          <w:szCs w:val="32"/>
          <w:shd w:fill="FFFFFF"/>
        </w:rPr>
        <w:t>（本级）</w:t>
      </w:r>
      <w:r>
        <w:rPr>
          <w:color w:val="000000"/>
          <w:rFonts w:ascii="仿宋" w:hAnsi="仿宋"/>
          <w:sz w:val="32"/>
          <w:szCs w:val="32"/>
          <w:shd w:fill="FFFFFF"/>
        </w:rPr>
        <w:t>2023</w:t>
      </w:r>
      <w:r>
        <w:rPr>
          <w:color w:val="000000"/>
          <w:rFonts w:ascii="仿宋" w:hAnsi="仿宋"/>
          <w:sz w:val="32"/>
          <w:szCs w:val="32"/>
          <w:shd w:fill="FFFFFF"/>
        </w:rPr>
        <w:t>年</w:t>
      </w:r>
      <w:r>
        <w:rPr>
          <w:color w:val="000000"/>
          <w:rFonts w:ascii="仿宋" w:hAnsi="仿宋"/>
          <w:sz w:val="32"/>
          <w:szCs w:val="32"/>
          <w:shd w:fill="FFFFFF"/>
        </w:rPr>
        <w:t>所有项目实行绩效目标</w:t>
      </w:r>
      <w:r>
        <w:rPr>
          <w:color w:val="000000"/>
          <w:rFonts w:ascii="仿宋" w:hAnsi="仿宋"/>
          <w:sz w:val="32"/>
          <w:szCs w:val="32"/>
          <w:shd w:fill="FFFFFF"/>
        </w:rPr>
        <w:t>管理，</w:t>
      </w:r>
      <w:r>
        <w:rPr>
          <w:color w:val="000000"/>
          <w:rFonts w:ascii="仿宋_GB2312" w:hAnsi="仿宋_GB2312"/>
          <w:sz w:val="32"/>
          <w:szCs w:val="32"/>
        </w:rPr>
        <w:t>涉及一般公共预算当年财政拨款</w:t>
      </w:r>
      <w:r>
        <w:rPr>
          <w:color w:val="000000"/>
          <w:rFonts w:ascii="仿宋_GB2312" w:hAnsi="仿宋_GB2312"/>
          <w:sz w:val="32"/>
          <w:szCs w:val="32"/>
        </w:rPr>
        <w:t>472</w:t>
      </w:r>
      <w:r>
        <w:rPr>
          <w:color w:val="000000"/>
          <w:rFonts w:ascii="仿宋_GB2312" w:hAnsi="仿宋_GB2312"/>
          <w:sz w:val="32"/>
          <w:szCs w:val="32"/>
        </w:rPr>
        <w:t>万元</w:t>
      </w:r>
      <w:r>
        <w:rPr>
          <w:color w:val="000000"/>
          <w:rFonts w:ascii="仿宋_GB2312" w:hAnsi="仿宋_GB2312"/>
          <w:sz w:val="32"/>
          <w:szCs w:val="32"/>
        </w:rPr>
        <w:t>。</w:t>
      </w:r>
    </w:p>
    <w:p>
      <w:pPr>
        <w:pStyle w:val=""/>
        <w:pageBreakBefore w:val="0"/>
        <w:spacing w:line="560" w:lineRule="exact"/>
        <w:rPr>
          <w:color w:val="000000"/>
          <w:rFonts w:ascii="仿宋_GB2312" w:hAnsi="仿宋_GB2312"/>
          <w:sz w:val="32"/>
          <w:szCs w:val="32"/>
        </w:rPr>
      </w:pPr>
    </w:p>
    <w:p>
      <w:pPr>
        <w:pStyle w:val=""/>
        <w:jc w:val="both"/>
        <w:ind w:firstLine="640"/>
        <w:spacing w:before="0" w:after="0" w:line="600" w:lineRule="exact"/>
        <w:rPr>
          <w:color w:val="000000"/>
          <w:rFonts w:ascii="Times New Roman" w:hAnsi="Times New Roman"/>
          <w:sz w:val="21"/>
          <w:szCs w:val="21"/>
          <w:shd w:fill="FFFFFF"/>
        </w:rPr>
      </w:pPr>
    </w:p>
    <w:p>
      <w:pPr>
        <w:pStyle w:val=""/>
        <w:jc w:val="both"/>
        <w:ind w:firstLine="640"/>
        <w:spacing w:before="0" w:after="0" w:line="600" w:lineRule="exact"/>
        <w:rPr>
          <w:color w:val="000000"/>
          <w:rFonts w:ascii="Times New Roman" w:hAnsi="Times New Roman"/>
          <w:sz w:val="21"/>
          <w:szCs w:val="21"/>
          <w:shd w:fill="FFFFFF"/>
        </w:rPr>
      </w:pPr>
    </w:p>
    <w:p>
      <w:pPr>
        <w:pStyle w:val=""/>
        <w:jc w:val="both"/>
        <w:ind w:firstLine="640"/>
        <w:spacing w:before="0" w:after="0" w:line="600" w:lineRule="exact"/>
        <w:rPr>
          <w:color w:val="000000"/>
          <w:rFonts w:ascii="Times New Roman" w:hAnsi="Times New Roman"/>
          <w:sz w:val="21"/>
          <w:szCs w:val="21"/>
          <w:shd w:fill="FFFFFF"/>
        </w:rPr>
      </w:pPr>
    </w:p>
    <w:p>
      <w:pPr>
        <w:pStyle w:val=""/>
        <w:jc w:val="both"/>
        <w:ind w:firstLine="640"/>
        <w:spacing w:before="0" w:after="0" w:line="600" w:lineRule="exact"/>
        <w:rPr>
          <w:color w:val="000000"/>
          <w:rFonts w:ascii="Times New Roman" w:hAnsi="Times New Roman"/>
          <w:sz w:val="21"/>
          <w:szCs w:val="21"/>
          <w:shd w:fill="FFFFFF"/>
        </w:rPr>
      </w:pPr>
    </w:p>
    <w:p>
      <w:pPr>
        <w:pStyle w:val=""/>
        <w:jc w:val="both"/>
        <w:spacing w:before="0" w:after="0" w:line="600" w:lineRule="exact"/>
        <w:rPr>
          <w:color w:val="000000"/>
          <w:rFonts w:ascii="Times New Roman" w:hAnsi="Times New Roman"/>
          <w:sz w:val="21"/>
          <w:szCs w:val="21"/>
          <w:shd w:fill="FFFFFF"/>
        </w:rPr>
      </w:pPr>
    </w:p>
    <w:p>
      <w:pPr>
        <w:pStyle w:val=""/>
        <w:jc w:val="center"/>
        <w:spacing w:before="0" w:after="0" w:line="600" w:lineRule="exact"/>
        <w:rPr>
          <w:color w:val="000000"/>
          <w:rFonts w:ascii="Times New Roman" w:hAnsi="Times New Roman"/>
          <w:sz w:val="44"/>
          <w:szCs w:val="44"/>
        </w:rPr>
      </w:pPr>
      <w:r>
        <w:rPr>
          <w:color w:val="000000"/>
          <w:rFonts w:ascii="黑体" w:hAnsi="宋体"/>
          <w:sz w:val="44"/>
          <w:szCs w:val="44"/>
          <w:shd w:fill="FFFFFF"/>
        </w:rPr>
        <w:t>第四部分 名词解释</w:t>
      </w:r>
    </w:p>
    <w:p>
      <w:pPr>
        <w:pStyle w:val=""/>
        <w:jc w:val="center"/>
        <w:spacing w:before="0" w:after="0" w:line="600" w:lineRule="exact"/>
        <w:rPr>
          <w:color w:val="000000"/>
          <w:rFonts w:ascii="Times New Roman" w:hAnsi="Times New Roman"/>
          <w:sz w:val="21"/>
          <w:szCs w:val="21"/>
        </w:rPr>
      </w:pPr>
      <w:r>
        <w:rPr>
          <w:color w:val="000000"/>
          <w:rFonts w:ascii="Times New Roman" w:hAnsi="Times New Roman"/>
          <w:sz w:val="21"/>
          <w:szCs w:val="21"/>
          <w:shd w:fill="FFFFFF"/>
        </w:rPr>
        <w:t> </w:t>
      </w:r>
    </w:p>
    <w:p>
      <w:pPr>
        <w:pStyle w:val=""/>
        <w:jc w:val="both"/>
        <w:ind w:firstLine="640"/>
        <w:spacing w:before="0" w:after="0" w:line="600" w:lineRule="exact"/>
        <w:rPr>
          <w:color w:val="000000"/>
          <w:rFonts w:ascii="Times New Roman" w:hAnsi="Times New Roman"/>
          <w:sz w:val="21"/>
          <w:szCs w:val="21"/>
        </w:rPr>
      </w:pPr>
      <w:r>
        <w:rPr>
          <w:color w:val="000000"/>
          <w:rFonts w:ascii="黑体" w:hAnsi="宋体"/>
          <w:sz w:val="32"/>
          <w:szCs w:val="32"/>
          <w:shd w:fill="FFFFFF"/>
        </w:rPr>
        <w:t>一、一般公共预算收入</w:t>
      </w:r>
      <w:r>
        <w:rPr>
          <w:b/>
          <w:color w:val="000000"/>
          <w:rFonts w:ascii="仿宋_GB2312" w:hAnsi="仿宋"/>
          <w:sz w:val="32"/>
          <w:szCs w:val="32"/>
          <w:shd w:fill="FFFFFF"/>
        </w:rPr>
        <w:t>：</w:t>
      </w:r>
      <w:r>
        <w:rPr>
          <w:color w:val="000000"/>
          <w:rFonts w:ascii="仿宋_GB2312" w:hAnsi="仿宋"/>
          <w:sz w:val="32"/>
          <w:szCs w:val="32"/>
          <w:shd w:fill="FFFFFF"/>
        </w:rPr>
        <w:t>指</w:t>
      </w:r>
      <w:r>
        <w:rPr>
          <w:color w:val="000000"/>
          <w:rFonts w:ascii="仿宋_GB2312" w:hAnsi="仿宋"/>
          <w:sz w:val="32"/>
          <w:szCs w:val="32"/>
          <w:shd w:fill="FFFFFF"/>
        </w:rPr>
        <w:t>区</w:t>
      </w:r>
      <w:r>
        <w:rPr>
          <w:color w:val="000000"/>
          <w:rFonts w:ascii="仿宋_GB2312" w:hAnsi="仿宋"/>
          <w:sz w:val="32"/>
          <w:szCs w:val="32"/>
          <w:shd w:fill="FFFFFF"/>
        </w:rPr>
        <w:t>财政当年拨付的资金，主要包括财政拨款收入、纳入国库管理的非税收入。</w:t>
      </w:r>
    </w:p>
    <w:p>
      <w:pPr>
        <w:pStyle w:val=""/>
        <w:ind w:firstLine="627"/>
        <w:spacing w:before="0" w:after="0" w:line="600" w:lineRule="exact"/>
        <w:rPr>
          <w:color w:val="000000"/>
          <w:rFonts w:ascii="宋体" w:hAnsi="宋体"/>
        </w:rPr>
      </w:pPr>
      <w:r>
        <w:rPr>
          <w:color w:val="000000"/>
          <w:rFonts w:ascii="黑体" w:hAnsi="宋体"/>
          <w:sz w:val="32"/>
          <w:szCs w:val="32"/>
          <w:shd w:fill="FFFFFF"/>
        </w:rPr>
        <w:t>二、纳入专户管理非税收入：</w:t>
      </w:r>
      <w:r>
        <w:rPr>
          <w:color w:val="000000"/>
          <w:rFonts w:ascii="仿宋_GB2312" w:hAnsi="仿宋"/>
          <w:sz w:val="32"/>
          <w:szCs w:val="32"/>
          <w:shd w:fill="FFFFFF"/>
        </w:rPr>
        <w:t>指按照非税收入管理相关规定，纳入专户管理的收费等。</w:t>
      </w:r>
    </w:p>
    <w:p>
      <w:pPr>
        <w:pStyle w:val=""/>
        <w:ind w:firstLine="627"/>
        <w:spacing w:before="0" w:after="0" w:line="600" w:lineRule="exact"/>
        <w:rPr>
          <w:color w:val="000000"/>
          <w:rFonts w:ascii="宋体" w:hAnsi="宋体"/>
        </w:rPr>
      </w:pPr>
      <w:r>
        <w:rPr>
          <w:color w:val="000000"/>
          <w:rFonts w:ascii="黑体" w:hAnsi="宋体"/>
          <w:sz w:val="32"/>
          <w:szCs w:val="32"/>
          <w:shd w:fill="FFFFFF"/>
        </w:rPr>
        <w:t>三、基本支出</w:t>
      </w:r>
      <w:r>
        <w:rPr>
          <w:b/>
          <w:color w:val="000000"/>
          <w:rFonts w:ascii="仿宋_GB2312" w:hAnsi="仿宋"/>
          <w:sz w:val="32"/>
          <w:szCs w:val="32"/>
          <w:shd w:fill="FFFFFF"/>
        </w:rPr>
        <w:t>：</w:t>
      </w:r>
      <w:r>
        <w:rPr>
          <w:color w:val="000000"/>
          <w:rFonts w:ascii="仿宋_GB2312" w:hAnsi="仿宋"/>
          <w:sz w:val="32"/>
          <w:szCs w:val="32"/>
          <w:shd w:fill="FFFFFF"/>
        </w:rPr>
        <w:t>指为保障机构正常运转、完成日常工作任务而发生的人员支出和公用支出。</w:t>
      </w:r>
    </w:p>
    <w:p>
      <w:pPr>
        <w:pStyle w:val=""/>
        <w:jc w:val="both"/>
        <w:ind w:firstLine="627"/>
        <w:spacing w:before="0" w:after="0" w:line="600" w:lineRule="exact"/>
        <w:rPr>
          <w:color w:val="000000"/>
          <w:rFonts w:ascii="仿宋_GB2312" w:hAnsi="仿宋"/>
          <w:sz w:val="32"/>
          <w:szCs w:val="32"/>
          <w:shd w:fill="FFFFFF"/>
        </w:rPr>
      </w:pPr>
      <w:r>
        <w:rPr>
          <w:color w:val="000000"/>
          <w:rFonts w:ascii="黑体" w:hAnsi="宋体"/>
          <w:sz w:val="32"/>
          <w:szCs w:val="32"/>
          <w:shd w:fill="FFFFFF"/>
        </w:rPr>
        <w:t>四、项目支出</w:t>
      </w:r>
      <w:r>
        <w:rPr>
          <w:b/>
          <w:color w:val="000000"/>
          <w:rFonts w:ascii="仿宋_GB2312" w:hAnsi="仿宋"/>
          <w:sz w:val="32"/>
          <w:szCs w:val="32"/>
          <w:shd w:fill="FFFFFF"/>
        </w:rPr>
        <w:t>：</w:t>
      </w:r>
      <w:r>
        <w:rPr>
          <w:color w:val="000000"/>
          <w:rFonts w:ascii="仿宋_GB2312" w:hAnsi="仿宋"/>
          <w:sz w:val="32"/>
          <w:szCs w:val="32"/>
          <w:shd w:fill="FFFFFF"/>
        </w:rPr>
        <w:t>指在</w:t>
      </w:r>
      <w:r>
        <w:rPr>
          <w:color w:val="000000"/>
          <w:rFonts w:ascii="仿宋_GB2312" w:hAnsi="仿宋"/>
          <w:sz w:val="32"/>
          <w:szCs w:val="32"/>
          <w:shd w:fill="FFFFFF"/>
        </w:rPr>
        <w:t>除</w:t>
      </w:r>
      <w:r>
        <w:rPr>
          <w:color w:val="000000"/>
          <w:rFonts w:ascii="仿宋_GB2312" w:hAnsi="仿宋"/>
          <w:sz w:val="32"/>
          <w:szCs w:val="32"/>
          <w:shd w:fill="FFFFFF"/>
        </w:rPr>
        <w:t>基本支出之外</w:t>
      </w:r>
      <w:r>
        <w:rPr>
          <w:color w:val="000000"/>
          <w:rFonts w:ascii="仿宋_GB2312" w:hAnsi="仿宋"/>
          <w:sz w:val="32"/>
          <w:szCs w:val="32"/>
          <w:shd w:fill="FFFFFF"/>
        </w:rPr>
        <w:t>的支出，主要用于完成</w:t>
      </w:r>
      <w:r>
        <w:rPr>
          <w:color w:val="000000"/>
          <w:rFonts w:ascii="仿宋_GB2312" w:hAnsi="仿宋"/>
          <w:sz w:val="32"/>
          <w:szCs w:val="32"/>
          <w:shd w:fill="FFFFFF"/>
        </w:rPr>
        <w:t>特定</w:t>
      </w:r>
      <w:r>
        <w:rPr>
          <w:color w:val="000000"/>
          <w:rFonts w:ascii="仿宋_GB2312" w:hAnsi="仿宋"/>
          <w:sz w:val="32"/>
          <w:szCs w:val="32"/>
          <w:shd w:fill="FFFFFF"/>
        </w:rPr>
        <w:t>工作</w:t>
      </w:r>
      <w:r>
        <w:rPr>
          <w:color w:val="000000"/>
          <w:rFonts w:ascii="仿宋_GB2312" w:hAnsi="仿宋"/>
          <w:sz w:val="32"/>
          <w:szCs w:val="32"/>
          <w:shd w:fill="FFFFFF"/>
        </w:rPr>
        <w:t>任务和事业发展目标</w:t>
      </w:r>
      <w:r>
        <w:rPr>
          <w:color w:val="000000"/>
          <w:rFonts w:ascii="仿宋_GB2312" w:hAnsi="仿宋"/>
          <w:sz w:val="32"/>
          <w:szCs w:val="32"/>
          <w:shd w:fill="FFFFFF"/>
        </w:rPr>
        <w:t>。</w:t>
      </w:r>
    </w:p>
    <w:p>
      <w:pPr>
        <w:pStyle w:val=""/>
        <w:jc w:val="both"/>
        <w:ind w:firstLine="627"/>
        <w:spacing w:before="0" w:after="0" w:line="600" w:lineRule="exact"/>
        <w:rPr>
          <w:color w:val="000000"/>
          <w:rFonts w:ascii="宋体" w:hAnsi="宋体"/>
        </w:rPr>
      </w:pPr>
      <w:r>
        <w:rPr>
          <w:color w:val="000000"/>
          <w:rFonts w:ascii="黑体" w:hAnsi="宋体"/>
          <w:sz w:val="32"/>
          <w:szCs w:val="32"/>
          <w:shd w:fill="FFFFFF"/>
        </w:rPr>
        <w:t>五、“三公”经费：</w:t>
      </w:r>
      <w:r>
        <w:rPr>
          <w:color w:val="000000"/>
          <w:rFonts w:ascii="仿宋_GB2312" w:hAnsi="仿宋"/>
          <w:sz w:val="32"/>
          <w:szCs w:val="32"/>
          <w:shd w:fill="FFFFFF"/>
        </w:rPr>
        <w:t>纳入财政预决算管理的</w:t>
      </w:r>
      <w:r>
        <w:rPr>
          <w:color w:val="000000"/>
          <w:rFonts w:ascii="仿宋" w:hAnsi="仿宋"/>
          <w:sz w:val="32"/>
          <w:szCs w:val="32"/>
          <w:shd w:fill="FFFFFF"/>
        </w:rPr>
        <w:t>“三公”经费，是指单位预算安排的因公出国（境）费、公务用车购置及运行费和公务接待费。其中，因公出国（境）费反映单位公务出国（境）的国际旅费、国外城市间交通费、住宿费、伙食费、培训费、公杂费等支出；公务用车购置及运行费反映单位公务用车购置支出（含车辆购置税）及燃料费、维修费、过桥过路费、保险费、安全奖励费用等支出；公务接待费反映单位按规定开支的各类公务接待（含外宾接待</w:t>
      </w:r>
      <w:r>
        <w:rPr>
          <w:color w:val="000000"/>
          <w:rFonts w:ascii="仿宋_GB2312" w:hAnsi="仿宋"/>
          <w:sz w:val="32"/>
          <w:szCs w:val="32"/>
          <w:shd w:fill="FFFFFF"/>
        </w:rPr>
        <w:t>）支出。</w:t>
      </w:r>
    </w:p>
    <w:p>
      <w:pPr>
        <w:pStyle w:val=""/>
        <w:jc w:val="both"/>
        <w:ind w:firstLine="627"/>
        <w:spacing w:before="0" w:after="0" w:line="600" w:lineRule="exact"/>
        <w:rPr>
          <w:color w:val="000000"/>
          <w:rFonts w:ascii="宋体" w:hAnsi="宋体"/>
          <w:shd w:fill="FFFFFF"/>
        </w:rPr>
      </w:pPr>
      <w:r>
        <w:rPr>
          <w:color w:val="000000"/>
          <w:rFonts w:ascii="黑体" w:hAnsi="宋体"/>
          <w:sz w:val="32"/>
          <w:szCs w:val="32"/>
          <w:shd w:fill="FFFFFF"/>
        </w:rPr>
        <w:t>六、机关运行经费</w:t>
      </w:r>
      <w:r>
        <w:rPr>
          <w:color w:val="000000"/>
          <w:rFonts w:ascii="仿宋_GB2312" w:hAnsi="仿宋"/>
          <w:sz w:val="32"/>
          <w:szCs w:val="32"/>
          <w:shd w:fill="FFFFFF"/>
        </w:rPr>
        <w:t>：</w:t>
      </w:r>
      <w:r>
        <w:rPr>
          <w:color w:val="000000"/>
          <w:rFonts w:ascii="仿宋_GB2312" w:hAnsi="仿宋"/>
          <w:sz w:val="32"/>
          <w:szCs w:val="32"/>
          <w:shd w:fill="FFFFFF"/>
        </w:rPr>
        <w:t>为保障行政事业单位运行用于购买货物和服务的各项资金，</w:t>
      </w:r>
      <w:r>
        <w:rPr>
          <w:color w:val="000000"/>
          <w:rFonts w:ascii="仿宋_GB2312" w:hAnsi="仿宋"/>
          <w:sz w:val="32"/>
          <w:szCs w:val="32"/>
          <w:shd w:fill="FFFFFF"/>
        </w:rPr>
        <w:t>包括办公及印刷费、邮电费、差旅费、会议费、福利费、日常维修费、专用材料及一般设备购置费、办公用房水电费、办公用房取暖费、办公用房物业管理费、公务用车运行维护费以及其他费用。</w:t>
      </w:r>
      <w:r>
        <w:rPr>
          <w:color w:val="000000"/>
          <w:rFonts w:ascii="宋体" w:hAnsi="宋体"/>
          <w:shd w:fill="FFFFFF"/>
        </w:rPr>
        <w:t> </w:t>
      </w:r>
    </w:p>
    <w:p>
      <w:pPr>
        <w:shd w:fill="FFFFFF"/>
        <w:pStyle w:val=""/>
        <w:ind w:firstLine="2222"/>
        <w:spacing w:before="0" w:after="0" w:line="600" w:lineRule="exact"/>
        <w:rPr>
          <w:b/>
          <w:color w:val="333333"/>
          <w:rFonts w:ascii="黑体" w:hAnsi="黑体"/>
          <w:sz w:val="44"/>
          <w:szCs w:val="44"/>
          <w:shd w:fill="FFFFFF"/>
        </w:rPr>
      </w:pPr>
    </w:p>
    <w:p>
      <w:pPr>
        <w:pStyle w:val=""/>
        <w:jc w:val="both"/>
        <w:spacing w:before="0" w:after="0" w:line="600" w:lineRule="exact"/>
        <w:rPr>
          <w:color w:val="333333"/>
          <w:rFonts w:ascii="宋体" w:hAnsi="宋体"/>
          <w:shd w:fill="FFFFFF"/>
        </w:rPr>
      </w:pPr>
    </w:p>
    <w:sectPr>
      <w:pgSz w:w="11906" w:h="16838"/>
      <w:pgMar w:left="1800" w:right="1800" w:top="1440" w:bottom="1440"/>
    </w:sectPr>
  </w:body>
</w:document>
</file>

<file path=word/fontTable.xml><?xml version="1.0" encoding="utf-8"?>
<w:fonts xmlns:a="http://schemas.openxmlformats.org/drawingml/2006/main" xmlns:c="http://schemas.openxmlformats.org/drawingml/2006/chart" xmlns:dgm="http://schemas.openxmlformats.org/drawingml/2006/diagram" xmlns:lc="http://schemas.openxmlformats.org/drawingml/2006/lockedCanvas" xmlns:m="http://schemas.openxmlformats.org/officeDocument/2006/math" xmlns:mc="http://schemas.openxmlformats.org/markup-compatibility/2006" xmlns:mo="http://schemas.microsoft.com/office/mac/office/2008/main" xmlns:mv="urn:schemas-microsoft-com:mac:vml" xmlns:o="urn:schemas-microsoft-com:office:office" xmlns:pic="http://schemas.openxmlformats.org/drawingml/2006/picture" xmlns:r="http://schemas.openxmlformats.org/officeDocument/2006/relationships" xmlns:v="urn:schemas-microsoft-com:vml" xmlns:w="http://schemas.openxmlformats.org/wordprocessingml/2006/main"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font w:name="Times New Roman"/>
  <w:font w:name="宋体"/>
  <w:font w:name="Calibri"/>
  <w:font w:name="华文中宋"/>
  <w:font w:name="黑体"/>
  <w:font w:name="仿宋_GB2312"/>
  <w:font w:name="仿宋"/>
  <w:font w:name="楷体_GB2312"/>
  <w:font w:name="TimesNewRoman"/>
  <w:font w:name="Cambria"/>
  <w:font w:name="Symbol"/>
  <w:font w:name="Courier New"/>
  <w:font w:name="Arial"/>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3522424697">
    <w:multiLevelType w:val="singleLevel"/>
    <w:lvl w:ilvl="0">
      <w:numFmt w:val="chineseCounting"/>
      <w:lvlText w:val="%1、"/>
      <w:start w:val="9"/>
      <w:lvlJc w:val="left"/>
      <w:pPr/>
      <w:rPr/>
    </w:lvl>
  </w:abstractNum>
  <w:abstractNum w:abstractNumId="1752747405">
    <w:multiLevelType w:val="singleLevel"/>
    <w:lvl w:ilvl="0">
      <w:numFmt w:val="chineseCounting"/>
      <w:lvlText w:val="（%1）"/>
      <w:start w:val="2"/>
      <w:lvlJc w:val="left"/>
      <w:pPr/>
      <w:rPr/>
    </w:lvl>
  </w:abstractNum>
  <w:abstractNum w:abstractNumId="10121982">
    <w:multiLevelType w:val="hybridMultilevel"/>
    <w:lvl w:ilvl="0">
      <w:numFmt w:val="bullet"/>
      <w:lvlText w:val=""/>
      <w:start w:val="0"/>
      <w:lvlJc w:val="left"/>
      <w:pPr>
        <w:ind w:left="720"/>
        <w:ind w:hanging="360"/>
      </w:pPr>
      <w:rPr>
        <w:rFonts w:ascii="Symbol" w:hAnsi="Symbol"/>
      </w:rPr>
    </w:lvl>
    <w:lvl w:ilvl="1">
      <w:numFmt w:val="bullet"/>
      <w:lvlText w:val="o"/>
      <w:start w:val="0"/>
      <w:lvlJc w:val="left"/>
      <w:pPr>
        <w:ind w:left="1440"/>
        <w:ind w:hanging="1080"/>
      </w:pPr>
      <w:rPr>
        <w:rFonts w:ascii="Courier New" w:hAnsi="Courier New"/>
      </w:rPr>
    </w:lvl>
    <w:lvl w:ilvl="2">
      <w:numFmt w:val="bullet"/>
      <w:lvlText w:val=""/>
      <w:start w:val="0"/>
      <w:lvlJc w:val="left"/>
      <w:pPr>
        <w:ind w:left="2160"/>
        <w:ind w:hanging="1800"/>
      </w:pPr>
      <w:rPr/>
    </w:lvl>
    <w:lvl w:ilvl="3">
      <w:numFmt w:val="bullet"/>
      <w:lvlText w:val=""/>
      <w:start w:val="0"/>
      <w:lvlJc w:val="left"/>
      <w:pPr>
        <w:ind w:left="2880"/>
        <w:ind w:hanging="2520"/>
      </w:pPr>
      <w:rPr>
        <w:rFonts w:ascii="Symbol" w:hAnsi="Symbol"/>
      </w:rPr>
    </w:lvl>
    <w:lvl w:ilvl="4">
      <w:numFmt w:val="bullet"/>
      <w:lvlText w:val="o"/>
      <w:start w:val="0"/>
      <w:lvlJc w:val="left"/>
      <w:pPr>
        <w:ind w:left="3600"/>
        <w:ind w:hanging="3240"/>
      </w:pPr>
      <w:rPr>
        <w:rFonts w:ascii="Courier New" w:hAnsi="Courier New"/>
      </w:rPr>
    </w:lvl>
    <w:lvl w:ilvl="5">
      <w:numFmt w:val="bullet"/>
      <w:lvlText w:val=""/>
      <w:start w:val="0"/>
      <w:lvlJc w:val="left"/>
      <w:pPr>
        <w:ind w:left="4320"/>
        <w:ind w:hanging="3960"/>
      </w:pPr>
      <w:rPr/>
    </w:lvl>
    <w:lvl w:ilvl="6">
      <w:numFmt w:val="bullet"/>
      <w:lvlText w:val=""/>
      <w:start w:val="0"/>
      <w:lvlJc w:val="left"/>
      <w:pPr>
        <w:ind w:left="5040"/>
        <w:ind w:hanging="4680"/>
      </w:pPr>
      <w:rPr>
        <w:rFonts w:ascii="Symbol" w:hAnsi="Symbol"/>
      </w:rPr>
    </w:lvl>
    <w:lvl w:ilvl="7">
      <w:numFmt w:val="bullet"/>
      <w:lvlText w:val="o"/>
      <w:start w:val="0"/>
      <w:lvlJc w:val="left"/>
      <w:pPr>
        <w:ind w:left="5760"/>
        <w:ind w:hanging="5400"/>
      </w:pPr>
      <w:rPr>
        <w:rFonts w:ascii="Courier New" w:hAnsi="Courier New"/>
      </w:rPr>
    </w:lvl>
    <w:lvl w:ilvl="8">
      <w:numFmt w:val="bullet"/>
      <w:lvlText w:val=""/>
      <w:start w:val="0"/>
      <w:lvlJc w:val="left"/>
      <w:pPr>
        <w:ind w:left="6480"/>
        <w:ind w:hanging="6120"/>
      </w:pPr>
      <w:rPr/>
    </w:lvl>
  </w:abstractNum>
  <w:abstractNum w:abstractNumId="10121983">
    <w:multiLevelType w:val="hybridMultilevel"/>
    <w:lvl w:ilvl="0">
      <w:numFmt w:val="decimal"/>
      <w:lvlText w:val="%1."/>
      <w:start w:val="1"/>
      <w:lvlJc w:val="left"/>
      <w:pPr>
        <w:ind w:left="720"/>
        <w:ind w:hanging="360"/>
      </w:pPr>
    </w:lvl>
    <w:lvl w:ilvl="1">
      <w:numFmt w:val="decimal"/>
      <w:lvlText w:val="%2."/>
      <w:start w:val="1"/>
      <w:lvlJc w:val="left"/>
      <w:pPr>
        <w:ind w:left="1440"/>
        <w:ind w:hanging="1080"/>
      </w:pPr>
    </w:lvl>
    <w:lvl w:ilvl="2">
      <w:numFmt w:val="decimal"/>
      <w:lvlText w:val="%3."/>
      <w:start w:val="1"/>
      <w:lvlJc w:val="left"/>
      <w:pPr>
        <w:ind w:left="2160"/>
        <w:ind w:hanging="1980"/>
      </w:pPr>
    </w:lvl>
    <w:lvl w:ilvl="3">
      <w:numFmt w:val="decimal"/>
      <w:lvlText w:val="%4."/>
      <w:start w:val="1"/>
      <w:lvlJc w:val="left"/>
      <w:pPr>
        <w:ind w:left="2880"/>
        <w:ind w:hanging="2520"/>
      </w:pPr>
    </w:lvl>
    <w:lvl w:ilvl="4">
      <w:numFmt w:val="decimal"/>
      <w:lvlText w:val="%5."/>
      <w:start w:val="1"/>
      <w:lvlJc w:val="left"/>
      <w:pPr>
        <w:ind w:left="3600"/>
        <w:ind w:hanging="3240"/>
      </w:pPr>
    </w:lvl>
    <w:lvl w:ilvl="5">
      <w:numFmt w:val="decimal"/>
      <w:lvlText w:val="%6."/>
      <w:start w:val="1"/>
      <w:lvlJc w:val="left"/>
      <w:pPr>
        <w:ind w:left="4320"/>
        <w:ind w:hanging="4140"/>
      </w:pPr>
    </w:lvl>
    <w:lvl w:ilvl="6">
      <w:numFmt w:val="decimal"/>
      <w:lvlText w:val="%7."/>
      <w:start w:val="1"/>
      <w:lvlJc w:val="left"/>
      <w:pPr>
        <w:ind w:left="5040"/>
        <w:ind w:hanging="4680"/>
      </w:pPr>
    </w:lvl>
    <w:lvl w:ilvl="7">
      <w:numFmt w:val="decimal"/>
      <w:lvlText w:val="%8."/>
      <w:start w:val="1"/>
      <w:lvlJc w:val="left"/>
      <w:pPr>
        <w:ind w:left="5760"/>
        <w:ind w:hanging="5400"/>
      </w:pPr>
    </w:lvl>
    <w:lvl w:ilvl="8">
      <w:numFmt w:val="decimal"/>
      <w:lvlText w:val="%9."/>
      <w:start w:val="1"/>
      <w:lvlJc w:val="left"/>
      <w:pPr>
        <w:ind w:left="6480"/>
        <w:ind w:hanging="6300"/>
      </w:pPr>
    </w:lvl>
  </w:abstractNum>
  <w:num w:numId="3522424697">
    <w:abstractNumId w:val="3522424697"/>
  </w:num>
  <w:num w:numId="1752747405">
    <w:abstractNumId w:val="1752747405"/>
  </w:num>
  <w:num w:numId="10121982">
    <w:abstractNumId w:val="10121982"/>
  </w:num>
  <w:num w:numId="10121983">
    <w:abstractNumId w:val="10121983"/>
  </w:num>
</w:numbering>
</file>

<file path=word/settings.xml><?xml version="1.0" encoding="utf-8"?>
<w:settings xmlns:a="http://schemas.openxmlformats.org/drawingml/2006/main" xmlns:c="http://schemas.openxmlformats.org/drawingml/2006/chart" xmlns:dgm="http://schemas.openxmlformats.org/drawingml/2006/diagram" xmlns:lc="http://schemas.openxmlformats.org/drawingml/2006/lockedCanvas" xmlns:m="http://schemas.openxmlformats.org/officeDocument/2006/math" xmlns:mc="http://schemas.openxmlformats.org/markup-compatibility/2006" xmlns:mo="http://schemas.microsoft.com/office/mac/office/2008/main" xmlns:mv="urn:schemas-microsoft-com:mac:vml" xmlns:o="urn:schemas-microsoft-com:office:office" xmlns:pic="http://schemas.openxmlformats.org/drawingml/2006/picture" xmlns:r="http://schemas.openxmlformats.org/officeDocument/2006/relationships" xmlns:v="urn:schemas-microsoft-com:vml" xmlns:w="http://schemas.openxmlformats.org/wordprocessingml/2006/main"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rsids/>
</w:settings>
</file>

<file path=word/styles.xml><?xml version="1.0" encoding="utf-8"?>
<w:styles xmlns:a="http://schemas.openxmlformats.org/drawingml/2006/main" xmlns:c="http://schemas.openxmlformats.org/drawingml/2006/chart" xmlns:dgm="http://schemas.openxmlformats.org/drawingml/2006/diagram" xmlns:lc="http://schemas.openxmlformats.org/drawingml/2006/lockedCanvas" xmlns:m="http://schemas.openxmlformats.org/officeDocument/2006/math" xmlns:mc="http://schemas.openxmlformats.org/markup-compatibility/2006" xmlns:mo="http://schemas.microsoft.com/office/mac/office/2008/main" xmlns:mv="urn:schemas-microsoft-com:mac:vml" xmlns:o="urn:schemas-microsoft-com:office:office" xmlns:pic="http://schemas.openxmlformats.org/drawingml/2006/picture" xmlns:r="http://schemas.openxmlformats.org/officeDocument/2006/relationships" xmlns:v="urn:schemas-microsoft-com:vml" xmlns:w="http://schemas.openxmlformats.org/wordprocessingml/2006/main"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imes New Roman"/>
      </w:rPr>
    </w:r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/&gt;
  </w:latentStyles>
  <w:style w:type="paragraph" w:styleId="">
    <w:name w:val="正文"/>
    <w:qFormat/>
    <w:pPr>
      <w:jc w:val="both"/>
    </w:pPr>
    <w:rPr>
      <w:rFonts w:ascii="Calibri" w:hAnsi="Calibri"/>
      <w:sz w:val="21"/>
      <w:szCs w:val="24"/>
    </w:rPr>
  </w:style>
  <w:style w:type="character" w:styleId="">
    <w:name w:val="默认段落字体"/>
    <w:qFormat/>
  </w:style>
  <w:style w:type="table" w:styleId="">
    <w:name w:val="普通表格"/>
    <w:qFormat/>
    <w:pPr/>
    <w:tblPr>
      <w:tblStyle w:val="普通表格"/>
      <w:tblLook w:val="1E0"/>
    </w:tblPr>
  </w:style>
  <w:style w:type="paragraph" w:styleId="">
    <w:name w:val="正文文本"/>
    <w:qFormat/>
    <w:basedOn w:val="正文"/>
    <w:pPr>
      <w:spacing w:after="120"/>
    </w:pPr>
  </w:style>
  <w:style w:type="paragraph" w:styleId="">
    <w:name w:val="日期"/>
    <w:qFormat/>
    <w:basedOn w:val="正文"/>
    <w:pPr>
      <w:ind w:left="100"/>
    </w:pPr>
  </w:style>
  <w:style w:type="paragraph" w:styleId="2">
    <w:name w:val="正文文本缩进 2"/>
    <w:qFormat/>
    <w:basedOn w:val="正文"/>
    <w:pPr>
      <w:ind w:left="420"/>
      <w:spacing w:after="120" w:line="480" w:lineRule="auto"/>
    </w:pPr>
    <w:rPr>
      <w:sz w:val="20"/>
    </w:rPr>
  </w:style>
  <w:style w:type="paragraph" w:styleId="HTML">
    <w:name w:val="HTML 预设格式"/>
    <w:qFormat/>
    <w:basedOn w:val="正文"/>
    <w:pPr>
      <w:jc w:val="left"/>
    </w:pPr>
    <w:rPr>
      <w:rFonts w:ascii="宋体" w:hAnsi="宋体"/>
      <w:sz w:val="24"/>
    </w:rPr>
  </w:style>
  <w:style w:type="paragraph" w:styleId="">
    <w:name w:val="普通(网站)"/>
    <w:qFormat/>
    <w:basedOn w:val="正文"/>
    <w:pPr>
      <w:jc w:val="left"/>
      <w:ind w:left="0"/>
      <w:ind w:right="0"/>
      <w:spacing w:before="0" w:after="0"/>
    </w:pPr>
    <w:rPr>
      <w:sz w:val="24"/>
    </w:rPr>
  </w:style>
  <w:style w:type="character" w:styleId="">
    <w:name w:val="超链接"/>
    <w:qFormat/>
    <w:rPr>
      <w:u w:val="single"/>
      <w:color w:val="0000FF"/>
    </w:rPr>
  </w:style>
  <w:style w:type="paragraph" w:default="1" w:styleId="Normal">
    <w:name w:val="Normal"/>
  </w:style>
  <w:style w:type="paragraph" w:styleId="Title">
    <w:name w:val="Title"/>
    <w:basedOn w:val="Normal"/>
    <w:pPr>
      <w:spacing w:after="300"/>
    </w:pPr>
    <w:rPr>
      <w:color w:val="17365D"/>
      <w:sz w:val="52"/>
    </w:rPr>
  </w:style>
  <w:style w:type="paragraph" w:styleId="Subtitle">
    <w:name w:val="Subtitle"/>
    <w:basedOn w:val="Normal"/>
    <w:rPr>
      <w:i/>
      <w:color w:val="4F81BD"/>
      <w:sz w:val="24"/>
    </w:rPr>
  </w:style>
  <w:style w:type="paragraph" w:styleId="Heading1">
    <w:name w:val="Heading 1"/>
    <w:basedOn w:val="Normal"/>
    <w:pPr>
      <w:spacing w:before="480"/>
    </w:pPr>
    <w:rPr>
      <w:b/>
      <w:color w:val="345A8A"/>
      <w:sz w:val="32"/>
    </w:rPr>
  </w:style>
  <w:style w:type="paragraph" w:styleId="Heading2">
    <w:name w:val="Heading 2"/>
    <w:basedOn w:val="Normal"/>
    <w:pPr>
      <w:spacing w:before="200"/>
    </w:pPr>
    <w:rPr>
      <w:b/>
      <w:color w:val="4F81BD"/>
      <w:sz w:val="26"/>
    </w:rPr>
  </w:style>
  <w:style w:type="paragraph" w:styleId="Heading3">
    <w:name w:val="Heading 3"/>
    <w:basedOn w:val="Normal"/>
    <w:pPr>
      <w:spacing w:before="200"/>
    </w:pPr>
    <w:rPr>
      <w:b/>
      <w:color w:val="4F81BD"/>
      <w:sz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6"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7" Type="http://schemas.openxmlformats.org/officeDocument/2006/relationships/image" Target="media/image2.emf"/><Relationship Id="rId8" Type="http://schemas.openxmlformats.org/officeDocument/2006/relationships/image" Target="media/image4.emf"/><Relationship Id="rId9" Type="http://schemas.openxmlformats.org/officeDocument/2006/relationships/image" Target="media/image6.emf"/><Relationship Id="rId10" Type="http://schemas.openxmlformats.org/officeDocument/2006/relationships/image" Target="media/image8.emf"/><Relationship Id="rId11" Type="http://schemas.openxmlformats.org/officeDocument/2006/relationships/image" Target="media/image10.emf"/><Relationship Id="rId12" Type="http://schemas.openxmlformats.org/officeDocument/2006/relationships/image" Target="media/image12.emf"/><Relationship Id="rId13" Type="http://schemas.openxmlformats.org/officeDocument/2006/relationships/image" Target="media/image14.emf"/><Relationship Id="rId14" Type="http://schemas.openxmlformats.org/officeDocument/2006/relationships/image" Target="media/image16.emf"/><Relationship Id="rId15" Type="http://schemas.openxmlformats.org/officeDocument/2006/relationships/image" Target="media/image18.emf"/><Relationship Id="rId16" Type="http://schemas.openxmlformats.org/officeDocument/2006/relationships/image" Target="media/image20.emf"/><Relationship Id="rId17" Type="http://schemas.openxmlformats.org/officeDocument/2006/relationships/image" Target="media/image22.emf"/><Relationship Id="rId18"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Company/>
  <LinksUpToDate>false</LinksUpToDate>
  <CharactersWithSpaces>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3</cp:revision>
  <dcterms:created xsi:type="dcterms:W3CDTF">2007-04-30T19:01:00Z</dcterms:created>
  <dcterms:modified xsi:type="dcterms:W3CDTF">2011-09-26T12:08:00Z</dcterms:modified>
</cp:coreProperties>
</file>