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A726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《关于淮北源淮实业有限公司公开遴选基金管理人的公告》</w:t>
      </w:r>
      <w:r>
        <w:rPr>
          <w:rFonts w:hint="eastAsia" w:ascii="方正小标宋简体" w:hAnsi="方正小标宋简体" w:eastAsia="方正小标宋简体"/>
          <w:sz w:val="44"/>
          <w:szCs w:val="44"/>
        </w:rPr>
        <w:t>起草说明</w:t>
      </w:r>
    </w:p>
    <w:p w14:paraId="6817BDF5">
      <w:pPr>
        <w:pStyle w:val="6"/>
        <w:numPr>
          <w:numId w:val="0"/>
        </w:numPr>
        <w:spacing w:line="560" w:lineRule="exact"/>
        <w:rPr>
          <w:rFonts w:hint="eastAsia" w:ascii="仿宋_GB2312" w:hAnsi="黑体" w:eastAsia="仿宋_GB2312"/>
          <w:sz w:val="32"/>
          <w:szCs w:val="32"/>
        </w:rPr>
      </w:pPr>
    </w:p>
    <w:p w14:paraId="4994A830">
      <w:pPr>
        <w:pStyle w:val="6"/>
        <w:numPr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 w14:paraId="09406D0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各级地方政府或企业纷纷设立产业投资发展基金（以下简称基金），通过借助资本的力量，引入区外优质企业和项目，完善当地的产业链结构，促进传统产业的升级优化，提升经济发展水平。根据当前招商引资工作的要求，，鉴于目前招商引资需要及后期的招商引资开展，急需组建2支新基金，拟由源淮公司拟公开遴选2支基金。</w:t>
      </w:r>
    </w:p>
    <w:p w14:paraId="777B46BD">
      <w:pPr>
        <w:pStyle w:val="6"/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 w14:paraId="237F6235">
      <w:pPr>
        <w:pStyle w:val="3"/>
        <w:spacing w:after="0" w:line="580" w:lineRule="exact"/>
        <w:ind w:left="0" w:leftChars="0" w:firstLine="64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经过多次专题会讨论，</w:t>
      </w:r>
      <w:r>
        <w:rPr>
          <w:rFonts w:hint="eastAsia" w:ascii="Times New Roman" w:hAnsi="Times New Roman" w:cs="Times New Roman"/>
          <w:sz w:val="32"/>
          <w:szCs w:val="32"/>
        </w:rPr>
        <w:t>该事项已经源淮公司办公会、开发区管委会党工委会讨论通过。已书面征求区纪委监委、区财政局、区审计局、区投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</w:rPr>
        <w:t>促局、区经开区等</w:t>
      </w: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hint="eastAsia" w:ascii="Times New Roman" w:hAnsi="Times New Roman" w:cs="Times New Roman"/>
          <w:sz w:val="32"/>
          <w:szCs w:val="32"/>
        </w:rPr>
        <w:t>家单位意见。最终</w:t>
      </w:r>
      <w:r>
        <w:rPr>
          <w:rFonts w:hint="eastAsia" w:hAnsi="仿宋_GB2312" w:cs="仿宋_GB2312"/>
          <w:sz w:val="32"/>
          <w:szCs w:val="32"/>
        </w:rPr>
        <w:t>形成《关于淮北源淮实业有限公司公开遴选基金管理人的公告》（送审稿）。</w:t>
      </w:r>
    </w:p>
    <w:p w14:paraId="7FFBD502">
      <w:pPr>
        <w:pStyle w:val="6"/>
        <w:spacing w:line="580" w:lineRule="exact"/>
        <w:ind w:left="640" w:firstLine="0"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三、主要内容</w:t>
      </w:r>
    </w:p>
    <w:p w14:paraId="0E391151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（一）基金情况</w:t>
      </w:r>
    </w:p>
    <w:p w14:paraId="7C6CDB0A">
      <w:pPr>
        <w:spacing w:line="580" w:lineRule="exact"/>
        <w:ind w:firstLine="63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1.基金规模：7亿元（一支3亿元、一支4亿元）</w:t>
      </w:r>
    </w:p>
    <w:p w14:paraId="0B750128">
      <w:pPr>
        <w:spacing w:line="580" w:lineRule="exact"/>
        <w:ind w:firstLine="63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2.出资比例：</w:t>
      </w:r>
      <w:r>
        <w:rPr>
          <w:rFonts w:ascii="Times New Roman" w:hAnsi="Times New Roman" w:eastAsia="仿宋_GB2312"/>
          <w:sz w:val="32"/>
          <w:szCs w:val="32"/>
        </w:rPr>
        <w:t>普通合伙人</w:t>
      </w:r>
      <w:r>
        <w:rPr>
          <w:rFonts w:hint="eastAsia" w:ascii="Times New Roman" w:hAnsi="Times New Roman" w:eastAsia="仿宋_GB2312"/>
          <w:sz w:val="32"/>
          <w:szCs w:val="32"/>
        </w:rPr>
        <w:t>出资比例1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；其他有限合伙人出资比例29%，源淮公司出资比例70%。</w:t>
      </w:r>
    </w:p>
    <w:p w14:paraId="33C2DC8B">
      <w:pPr>
        <w:spacing w:line="580" w:lineRule="exact"/>
        <w:ind w:firstLine="63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3.合伙期限：7年，其中投资期4年，退出期3年。合伙期限届满后，根据企业经营需要，经全体合伙人一致同意，合伙企业存续期限可以延长1年。</w:t>
      </w:r>
    </w:p>
    <w:p w14:paraId="5FFFBE69">
      <w:pPr>
        <w:spacing w:line="580" w:lineRule="exact"/>
        <w:ind w:firstLine="63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4.投资方向：</w:t>
      </w:r>
      <w:r>
        <w:rPr>
          <w:rFonts w:ascii="Times New Roman" w:hAnsi="Times New Roman" w:eastAsia="仿宋_GB2312"/>
          <w:sz w:val="32"/>
          <w:szCs w:val="32"/>
        </w:rPr>
        <w:t>主要投资于</w:t>
      </w:r>
      <w:r>
        <w:rPr>
          <w:rFonts w:hint="eastAsia" w:ascii="Times New Roman" w:hAnsi="Times New Roman" w:eastAsia="仿宋_GB2312"/>
          <w:sz w:val="32"/>
          <w:szCs w:val="32"/>
        </w:rPr>
        <w:t>电子信息、新能源汽车零部件、新材料、装备制造（电力设备）等符合烈山区产业发展方向的企业。</w:t>
      </w:r>
    </w:p>
    <w:p w14:paraId="0C19A972">
      <w:pPr>
        <w:spacing w:line="580" w:lineRule="exact"/>
        <w:ind w:firstLine="63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5.投资决策：设立投资决策委员会（以下简称“投委会”），由 3 名委员组成，其人选经合伙人会议审议通过后生效。其中普通合伙人推荐 2 名，有限合伙人淮北源淮实业有限公司推荐 1 名，投委会作出任何决议，须 3 名委员一致同意方可通过。</w:t>
      </w:r>
    </w:p>
    <w:p w14:paraId="64FF5A97">
      <w:pPr>
        <w:spacing w:line="580" w:lineRule="exact"/>
        <w:ind w:firstLine="63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6.单笔投资限额：不超过基金规模的20%</w:t>
      </w:r>
    </w:p>
    <w:p w14:paraId="5694BC23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7.基金管理人：采用市场化方式公开遴选</w:t>
      </w:r>
    </w:p>
    <w:p w14:paraId="5C5FE563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（二）主要遴选条件</w:t>
      </w:r>
    </w:p>
    <w:p w14:paraId="051C3D6C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1.</w:t>
      </w:r>
      <w:r>
        <w:rPr>
          <w:rFonts w:ascii="Times New Roman" w:hAnsi="Times New Roman" w:eastAsia="楷体_GB2312"/>
          <w:b/>
          <w:bCs/>
          <w:sz w:val="32"/>
          <w:szCs w:val="32"/>
        </w:rPr>
        <w:t>管理团队及运营资质</w:t>
      </w:r>
    </w:p>
    <w:p w14:paraId="38479AC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在中国大陆依法设立的公司或合伙企业，</w:t>
      </w:r>
      <w:r>
        <w:rPr>
          <w:rFonts w:hint="eastAsia" w:ascii="Times New Roman" w:hAnsi="Times New Roman" w:eastAsia="仿宋_GB2312"/>
          <w:sz w:val="32"/>
          <w:szCs w:val="32"/>
        </w:rPr>
        <w:t>且在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中国证券投资基金业协会登记备案，具备基金管理人资格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D1B4B4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</w:t>
      </w:r>
      <w:r>
        <w:rPr>
          <w:rFonts w:ascii="Times New Roman" w:hAnsi="Times New Roman" w:eastAsia="仿宋_GB2312"/>
          <w:sz w:val="32"/>
          <w:szCs w:val="32"/>
        </w:rPr>
        <w:t>基金管理人及其董事、监事、高级管理人员及其他从业人员在最近三年无重大违法行为。</w:t>
      </w:r>
    </w:p>
    <w:p w14:paraId="4678E74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</w:t>
      </w:r>
      <w:r>
        <w:rPr>
          <w:rFonts w:ascii="Times New Roman" w:hAnsi="Times New Roman" w:eastAsia="仿宋_GB2312"/>
          <w:sz w:val="32"/>
          <w:szCs w:val="32"/>
        </w:rPr>
        <w:t>有符合要求的营业场所、安全防范设施和与基金管理业务有关的其他设施。</w:t>
      </w:r>
    </w:p>
    <w:p w14:paraId="182A3CF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</w:t>
      </w:r>
      <w:r>
        <w:rPr>
          <w:rFonts w:ascii="Times New Roman" w:hAnsi="Times New Roman" w:eastAsia="仿宋_GB2312"/>
          <w:sz w:val="32"/>
          <w:szCs w:val="32"/>
        </w:rPr>
        <w:t>有良好的内部治理结构和风险控制制度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BF208A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</w:t>
      </w:r>
      <w:r>
        <w:rPr>
          <w:rFonts w:ascii="Times New Roman" w:hAnsi="Times New Roman" w:eastAsia="仿宋_GB2312"/>
          <w:sz w:val="32"/>
          <w:szCs w:val="32"/>
        </w:rPr>
        <w:t>按照国家企业财务、会计制度规定，有健全的内部财务管理制度和会计核算办法，具有国家规定的私募基金管理人资质，管理团队稳定，具有良好的职业操守和信誉。</w:t>
      </w:r>
    </w:p>
    <w:p w14:paraId="2D1B1003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2.</w:t>
      </w:r>
      <w:r>
        <w:rPr>
          <w:rFonts w:ascii="Times New Roman" w:hAnsi="Times New Roman" w:eastAsia="楷体_GB2312"/>
          <w:b/>
          <w:bCs/>
          <w:sz w:val="32"/>
          <w:szCs w:val="32"/>
        </w:rPr>
        <w:t>管理机制</w:t>
      </w:r>
    </w:p>
    <w:p w14:paraId="1D55065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管理团队具备健全的投资管理和风险</w:t>
      </w:r>
      <w:r>
        <w:rPr>
          <w:rFonts w:hint="eastAsia" w:ascii="Times New Roman" w:hAnsi="Times New Roman" w:eastAsia="仿宋_GB2312"/>
          <w:sz w:val="32"/>
          <w:szCs w:val="32"/>
        </w:rPr>
        <w:t>防控</w:t>
      </w:r>
      <w:r>
        <w:rPr>
          <w:rFonts w:ascii="Times New Roman" w:hAnsi="Times New Roman" w:eastAsia="仿宋_GB2312"/>
          <w:sz w:val="32"/>
          <w:szCs w:val="32"/>
        </w:rPr>
        <w:t>流程，规范的项目遴选机制和独立的内部决策机制，完备的投资管理制度和完整的投资档案体系，能够为被投资企业提供创业辅导、管理咨询等增值服务。</w:t>
      </w:r>
    </w:p>
    <w:p w14:paraId="259791CD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3.返投金额及比例要求</w:t>
      </w:r>
    </w:p>
    <w:p w14:paraId="75C70A9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返投金额指本基金投资额及其他资本投资额。</w:t>
      </w:r>
    </w:p>
    <w:p w14:paraId="637665C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基金存续期内，总体返投烈山落地项目的金额应不低于源淮公司总体基金出资额。</w:t>
      </w:r>
    </w:p>
    <w:p w14:paraId="59D3E891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4.</w:t>
      </w:r>
      <w:r>
        <w:rPr>
          <w:rFonts w:ascii="Times New Roman" w:hAnsi="Times New Roman" w:eastAsia="楷体_GB2312"/>
          <w:b/>
          <w:bCs/>
          <w:sz w:val="32"/>
          <w:szCs w:val="32"/>
        </w:rPr>
        <w:t>管理费要求</w:t>
      </w:r>
    </w:p>
    <w:p w14:paraId="7CFDDE3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投资期的管理费按基金实缴出资额的1.5%/年收取，退出期的管理费按基金未退出原始出资额的1%/年收取，延长期、清算期不收取管理费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AF7A258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5.本金及收益</w:t>
      </w:r>
      <w:r>
        <w:rPr>
          <w:rFonts w:ascii="Times New Roman" w:hAnsi="Times New Roman" w:eastAsia="楷体_GB2312"/>
          <w:b/>
          <w:bCs/>
          <w:sz w:val="32"/>
          <w:szCs w:val="32"/>
        </w:rPr>
        <w:t>分配顺序</w:t>
      </w:r>
    </w:p>
    <w:p w14:paraId="4DC4C7B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采取“先本后利，实缴比例分配”的原则，优先分配本金后，按年化 6%（单利）分配门槛收益；如有盈余，分配超额收益，超额收益分配顺序如下：</w:t>
      </w:r>
    </w:p>
    <w:p w14:paraId="2D266C5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sz w:val="32"/>
          <w:szCs w:val="32"/>
        </w:rPr>
        <w:t>100%≤返投比例&lt;130%，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20%向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分配，80%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2CF6C2A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</w:t>
      </w:r>
      <w:r>
        <w:rPr>
          <w:rFonts w:hint="eastAsia" w:ascii="Times New Roman" w:hAnsi="Times New Roman" w:eastAsia="仿宋_GB2312"/>
          <w:sz w:val="32"/>
          <w:szCs w:val="32"/>
        </w:rPr>
        <w:t>130%≤返投比例&lt;140%，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，30</w:t>
      </w:r>
      <w:r>
        <w:rPr>
          <w:rFonts w:ascii="Times New Roman" w:hAnsi="Times New Roman" w:eastAsia="仿宋_GB2312"/>
          <w:sz w:val="32"/>
          <w:szCs w:val="32"/>
        </w:rPr>
        <w:t>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</w:t>
      </w:r>
      <w:r>
        <w:rPr>
          <w:rFonts w:hint="eastAsia" w:ascii="Times New Roman" w:hAnsi="Times New Roman" w:eastAsia="仿宋_GB2312"/>
          <w:sz w:val="32"/>
          <w:szCs w:val="32"/>
        </w:rPr>
        <w:t>70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9FCDC2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</w:rPr>
        <w:t>140%≤返投比例为&lt;150%，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，4</w:t>
      </w:r>
      <w:r>
        <w:rPr>
          <w:rFonts w:ascii="Times New Roman" w:hAnsi="Times New Roman" w:eastAsia="仿宋_GB2312"/>
          <w:sz w:val="32"/>
          <w:szCs w:val="32"/>
        </w:rPr>
        <w:t>0%向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AE29D6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</w:t>
      </w:r>
      <w:r>
        <w:rPr>
          <w:rFonts w:hint="eastAsia" w:ascii="Times New Roman" w:hAnsi="Times New Roman" w:eastAsia="仿宋_GB2312"/>
          <w:sz w:val="32"/>
          <w:szCs w:val="32"/>
        </w:rPr>
        <w:t>150%≤返投比例，</w:t>
      </w:r>
      <w:r>
        <w:rPr>
          <w:rFonts w:ascii="Times New Roman" w:hAnsi="Times New Roman" w:eastAsia="仿宋_GB2312"/>
          <w:sz w:val="32"/>
          <w:szCs w:val="32"/>
        </w:rPr>
        <w:t>剩余超额收益</w:t>
      </w:r>
      <w:r>
        <w:rPr>
          <w:rFonts w:hint="eastAsia" w:ascii="Times New Roman" w:hAnsi="Times New Roman" w:eastAsia="仿宋_GB2312"/>
          <w:sz w:val="32"/>
          <w:szCs w:val="32"/>
        </w:rPr>
        <w:t>，5</w:t>
      </w:r>
      <w:r>
        <w:rPr>
          <w:rFonts w:ascii="Times New Roman" w:hAnsi="Times New Roman" w:eastAsia="仿宋_GB2312"/>
          <w:sz w:val="32"/>
          <w:szCs w:val="32"/>
        </w:rPr>
        <w:t>0%向</w:t>
      </w:r>
      <w:r>
        <w:rPr>
          <w:rFonts w:hint="eastAsia" w:ascii="Times New Roman" w:hAnsi="Times New Roman" w:eastAsia="仿宋_GB2312"/>
          <w:sz w:val="32"/>
          <w:szCs w:val="32"/>
        </w:rPr>
        <w:t>普通合伙人（基金</w:t>
      </w:r>
      <w:r>
        <w:rPr>
          <w:rFonts w:ascii="Times New Roman" w:hAnsi="Times New Roman" w:eastAsia="仿宋_GB2312"/>
          <w:sz w:val="32"/>
          <w:szCs w:val="32"/>
        </w:rPr>
        <w:t>管理人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分配，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</w:rPr>
        <w:t>向有限合伙人分配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86440C3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（三）</w:t>
      </w:r>
      <w:r>
        <w:rPr>
          <w:rFonts w:ascii="Times New Roman" w:hAnsi="Times New Roman" w:eastAsia="楷体_GB2312"/>
          <w:b/>
          <w:bCs/>
          <w:sz w:val="32"/>
          <w:szCs w:val="32"/>
        </w:rPr>
        <w:t>遴选程序</w:t>
      </w:r>
    </w:p>
    <w:p w14:paraId="6D3D5638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1.</w:t>
      </w:r>
      <w:r>
        <w:rPr>
          <w:rFonts w:ascii="Times New Roman" w:hAnsi="Times New Roman" w:eastAsia="楷体_GB2312"/>
          <w:b/>
          <w:bCs/>
          <w:sz w:val="32"/>
          <w:szCs w:val="32"/>
        </w:rPr>
        <w:t>发布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遴选公告</w:t>
      </w:r>
    </w:p>
    <w:p w14:paraId="47381CF9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2.</w:t>
      </w:r>
      <w:r>
        <w:rPr>
          <w:rFonts w:ascii="Times New Roman" w:hAnsi="Times New Roman" w:eastAsia="楷体_GB2312"/>
          <w:b/>
          <w:bCs/>
          <w:sz w:val="32"/>
          <w:szCs w:val="32"/>
        </w:rPr>
        <w:t>材料报送</w:t>
      </w:r>
    </w:p>
    <w:p w14:paraId="14A97F5C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3.开展评审</w:t>
      </w:r>
    </w:p>
    <w:p w14:paraId="3EFB606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评审工作按照“资格预审→评分评审→尽职调查→综合评定”四步依次推进。</w:t>
      </w:r>
    </w:p>
    <w:p w14:paraId="47CD5107">
      <w:pPr>
        <w:spacing w:line="5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4.结果</w:t>
      </w:r>
      <w:r>
        <w:rPr>
          <w:rFonts w:ascii="Times New Roman" w:hAnsi="Times New Roman" w:eastAsia="楷体_GB2312"/>
          <w:b/>
          <w:bCs/>
          <w:sz w:val="32"/>
          <w:szCs w:val="32"/>
        </w:rPr>
        <w:t>公示</w:t>
      </w:r>
    </w:p>
    <w:p w14:paraId="22B26702">
      <w:pPr>
        <w:spacing w:line="580" w:lineRule="exact"/>
        <w:ind w:firstLine="420" w:firstLineChars="200"/>
      </w:pPr>
    </w:p>
    <w:sectPr>
      <w:pgSz w:w="11907" w:h="16840"/>
      <w:pgMar w:top="1440" w:right="1797" w:bottom="1440" w:left="1797" w:header="851" w:footer="992" w:gutter="0"/>
      <w:cols w:space="425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8B"/>
    <w:rsid w:val="00023C1F"/>
    <w:rsid w:val="000C564B"/>
    <w:rsid w:val="00143AF3"/>
    <w:rsid w:val="00271B86"/>
    <w:rsid w:val="003D5DF9"/>
    <w:rsid w:val="00480334"/>
    <w:rsid w:val="008D1F3E"/>
    <w:rsid w:val="00D1271E"/>
    <w:rsid w:val="00E0464B"/>
    <w:rsid w:val="00E804AA"/>
    <w:rsid w:val="00ED518B"/>
    <w:rsid w:val="00F06EA0"/>
    <w:rsid w:val="00F86C91"/>
    <w:rsid w:val="00FA7211"/>
    <w:rsid w:val="041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8"/>
    <w:qFormat/>
    <w:uiPriority w:val="99"/>
    <w:pPr>
      <w:ind w:firstLine="420" w:firstLineChars="200"/>
    </w:pPr>
    <w:rPr>
      <w:rFonts w:ascii="仿宋_GB2312" w:hAnsi="微软雅黑" w:eastAsia="仿宋_GB2312" w:cs="华文中宋"/>
      <w:szCs w:val="20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正文文本缩进 字符"/>
    <w:basedOn w:val="5"/>
    <w:link w:val="2"/>
    <w:semiHidden/>
    <w:uiPriority w:val="99"/>
    <w:rPr>
      <w:rFonts w:ascii="Calibri" w:hAnsi="Calibri" w:eastAsia="宋体" w:cs="Times New Roman"/>
      <w:szCs w:val="21"/>
    </w:rPr>
  </w:style>
  <w:style w:type="character" w:customStyle="1" w:styleId="8">
    <w:name w:val="正文首行缩进 2 字符"/>
    <w:basedOn w:val="7"/>
    <w:link w:val="3"/>
    <w:qFormat/>
    <w:uiPriority w:val="99"/>
    <w:rPr>
      <w:rFonts w:ascii="仿宋_GB2312" w:hAnsi="微软雅黑" w:eastAsia="仿宋_GB2312" w:cs="华文中宋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1427</Words>
  <Characters>1497</Characters>
  <Lines>10</Lines>
  <Paragraphs>3</Paragraphs>
  <TotalTime>15</TotalTime>
  <ScaleCrop>false</ScaleCrop>
  <LinksUpToDate>false</LinksUpToDate>
  <CharactersWithSpaces>1506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2025-09-23T04:58:00Z</dcterms:created>
  <dc:creator>Administrator</dc:creator>
  <cp:lastModifiedBy>Anita</cp:lastModifiedBy>
  <dcterms:modified xsi:type="dcterms:W3CDTF">2025-11-05T07:30:20Z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eyJoZGlkIjoiZTAwOGQyNjFhODAxOGM0N2NhZGI3NGQwYjRiNDBkOTMiLCJ1c2VySWQiOiI1MzY2NTA5ODAifQ==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BC95A23FD5674FC48865FBCD2E945BEF_12</vt:lpwstr>
  </property>
</Properties>
</file>