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pacing w:line="640" w:lineRule="exact"/>
        <w:jc w:val="center"/>
        <w:rPr>
          <w:rFonts w:hint="eastAsia" w:ascii="方正小标宋简体" w:hAnsi="方正小标宋简体" w:eastAsia="方正小标宋简体" w:cs="方正小标宋简体"/>
          <w:b/>
          <w:bCs/>
          <w:sz w:val="44"/>
          <w:szCs w:val="44"/>
          <w:lang w:val="en-US"/>
        </w:rPr>
      </w:pPr>
      <w:bookmarkStart w:id="0" w:name="OLE_LINK2"/>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24</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淮北市烈山区乡村振兴二期项目</w:t>
      </w:r>
    </w:p>
    <w:p>
      <w:pPr>
        <w:adjustRightInd w:val="0"/>
        <w:spacing w:line="6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bCs/>
          <w:sz w:val="44"/>
          <w:szCs w:val="44"/>
        </w:rPr>
        <w:t>绩效评价报告</w:t>
      </w:r>
      <w:bookmarkEnd w:id="0"/>
      <w:r>
        <w:rPr>
          <w:rFonts w:hint="eastAsia" w:ascii="方正小标宋简体" w:hAnsi="方正小标宋简体" w:eastAsia="方正小标宋简体" w:cs="方正小标宋简体"/>
          <w:b w:val="0"/>
          <w:bCs w:val="0"/>
          <w:sz w:val="44"/>
          <w:szCs w:val="44"/>
          <w:lang w:eastAsia="zh-CN"/>
        </w:rPr>
        <w:t>摘编</w:t>
      </w:r>
    </w:p>
    <w:p>
      <w:pPr>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b w:val="0"/>
          <w:bCs w:val="0"/>
          <w:sz w:val="36"/>
          <w:szCs w:val="36"/>
          <w:lang w:eastAsia="zh-CN"/>
        </w:rPr>
      </w:pPr>
    </w:p>
    <w:p>
      <w:pPr>
        <w:pageBreakBefore w:val="0"/>
        <w:wordWrap/>
        <w:overflowPunct/>
        <w:topLinePunct w:val="0"/>
        <w:bidi w:val="0"/>
        <w:adjustRightInd w:val="0"/>
        <w:spacing w:line="240" w:lineRule="auto"/>
        <w:ind w:firstLine="562" w:firstLineChars="200"/>
        <w:jc w:val="left"/>
        <w:rPr>
          <w:rFonts w:hint="eastAsia" w:ascii="仿宋" w:hAnsi="仿宋" w:eastAsia="仿宋" w:cs="仿宋"/>
          <w:b/>
          <w:bCs/>
          <w:sz w:val="28"/>
          <w:szCs w:val="28"/>
        </w:rPr>
      </w:pP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（一）项目概况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改善农村人居环境，建设美丽宜居乡村，是实现乡村振兴战略的一项重要任务，事关全面建成小康社会，事关广大农民根本福祉，事关农村生活文明和谐，农村人居环境的改善，直接关系农民的生产和生活，是不可耽搁的大事。淮北市烈山区乡村振兴二期项目建设内容主要包括现代农业产业园、高标农田与旱改水提升建设工程、国家农村产业融合发展示范园、人居环境整治提升等。</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现代农业产业园规划占地面积1722亩，包括800亩循环农业日光温室区，320亩种苗抚育玻璃温室区、295亩特色经果区、150亩玻璃温室区及157亩科技服务中心、展销中心等综合配套服务区。</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高标农田与旱改水提升建设工程对“十二五”期间30000亩高标准农田进行提升改造，5000亩赵楼社区旱改水耕地提升改造。</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国家农村产业融合发展示范园包括开挖3.5km山洪沟，新建蓄水池3座，实施水土保持造水造林70h㎡，建设排水沟渠与田间路100km,建设特色水果小镇与农文旅小镇及其他配套工程。</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居环境整治提升项目对全区乡镇政府驻地建成区、自然村中心村进行宜居和和升级建设，包括4000㎡公共空间建筑改造，二项河沟渠塘疏浚清淤工程、四项村容村貌整治工程，120km道路畅通工程，一项污水处理工程及其他配套基础设施提升。</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（二）项目任务完成情况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淮北市烈山区乡村振兴二期项目，项目建设期自2023年1月至2025年6月。截至考评日已完成17个子项目，分别为烈山镇农村人居环境整治工程，东部山区农林水电基础设施建设项目，宋疃镇基础设施提升－马桥村污水管网、道路、公厕工程，宋疃镇粮食仓储中心及基础设施改造提升—会楼粮库及村庄道路、公厕工程，古饶镇人居环境整治提升基础设施建设工程，古饶镇农村创业“孵化器”—“一村一工坊”项目，古饶镇赵楼等8个村人居环境整治项目，杨庄街道人居环境提升二期工程，杨庄街道二郎庙社区人居环境提升工程，烈山润泽现代农业示范基地及其他配套项目，烈山区2022年度美丽乡村建设项目，土型社区现代融合发展示范园，烈山区2023年度和美乡村省市级中心村建设项目，烈山区乡村振兴农村路灯采购及安装项目，华家湖现代农业产业园二期，烈山镇乡村创业孵化器“一村一工坊”项目，烈山区东部山区农林水电基础设施建设项目—蓄水塘治理工程。烈山区食用菌种植基地项目育菇房钢结构框架安装完成50%；碎石层铺设，草炭土车间基础开完成60%；垫层浇筑完成60%，烈山镇土楼社区丁楼、刘庄、土楼自然村基础设施改造提升工程项目西丁楼道路排水沟清淤全部完成，东丁楼道路排水沟全部完成。</w:t>
      </w:r>
    </w:p>
    <w:p>
      <w:pPr>
        <w:pageBreakBefore w:val="0"/>
        <w:wordWrap/>
        <w:overflowPunct/>
        <w:topLinePunct w:val="0"/>
        <w:bidi w:val="0"/>
        <w:adjustRightInd w:val="0"/>
        <w:spacing w:line="36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（三）项目资金到位及使用情况</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淮北市烈山区乡村振兴二期项目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计划总投资74,663.00万元，其中：专项债资金45,000.00万元，财政配套资金29,663.00万元。</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w:t>
      </w:r>
      <w:r>
        <w:rPr>
          <w:rFonts w:hint="eastAsia" w:ascii="方正仿宋_GB2312" w:hAnsi="方正仿宋_GB2312" w:eastAsia="方正仿宋_GB2312" w:cs="方正仿宋_GB2312"/>
          <w:sz w:val="32"/>
          <w:szCs w:val="32"/>
        </w:rPr>
        <w:t>淮北市烈山区乡村振兴二期项目</w:t>
      </w:r>
      <w:r>
        <w:rPr>
          <w:rFonts w:hint="eastAsia" w:ascii="方正仿宋_GB2312" w:hAnsi="方正仿宋_GB2312" w:eastAsia="方正仿宋_GB2312" w:cs="方正仿宋_GB2312"/>
          <w:sz w:val="32"/>
          <w:szCs w:val="32"/>
          <w:lang w:val="en-US" w:eastAsia="zh-CN"/>
        </w:rPr>
        <w:t>已到位资金36,802.94万元，占项目总投资的49.29%，其中：专项债资金36,400.00万元，占计划投资的80.89%；财政配套资金402.94万元，占计划投资的1.36%。</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截至2024年末，淮北市烈山区乡村振兴二期项目，已支付项目资金36,420.60万元，占到位资金的98.96%，其中：专项债资金36,400.00万元，占到位资金的100%，区财政配套资金20.60万元，占到位资金的5.11%。</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二、绩效评价</w:t>
      </w:r>
      <w:r>
        <w:rPr>
          <w:rFonts w:hint="eastAsia" w:ascii="黑体" w:hAnsi="黑体" w:eastAsia="黑体" w:cs="黑体"/>
          <w:b w:val="0"/>
          <w:bCs w:val="0"/>
          <w:sz w:val="32"/>
          <w:szCs w:val="32"/>
          <w:lang w:val="en-US" w:eastAsia="zh-CN"/>
        </w:rPr>
        <w:t>方法</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烈山区财政局聘请第三方机构安徽世诚会计师事务所，第三方机构</w:t>
      </w:r>
      <w:r>
        <w:rPr>
          <w:rFonts w:hint="eastAsia" w:ascii="方正仿宋_GB2312" w:hAnsi="方正仿宋_GB2312" w:eastAsia="方正仿宋_GB2312" w:cs="方正仿宋_GB2312"/>
          <w:sz w:val="32"/>
          <w:szCs w:val="32"/>
        </w:rPr>
        <w:t>按照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财政部关于印发＜项目支出</w:t>
      </w:r>
      <w:r>
        <w:rPr>
          <w:rFonts w:hint="eastAsia" w:ascii="方正仿宋_GB2312" w:hAnsi="方正仿宋_GB2312" w:eastAsia="方正仿宋_GB2312" w:cs="方正仿宋_GB2312"/>
          <w:sz w:val="32"/>
          <w:szCs w:val="32"/>
        </w:rPr>
        <w:t>绩效评价</w:t>
      </w:r>
      <w:r>
        <w:rPr>
          <w:rFonts w:hint="eastAsia" w:ascii="方正仿宋_GB2312" w:hAnsi="方正仿宋_GB2312" w:eastAsia="方正仿宋_GB2312" w:cs="方正仿宋_GB2312"/>
          <w:sz w:val="32"/>
          <w:szCs w:val="32"/>
          <w:lang w:val="en-US" w:eastAsia="zh-CN"/>
        </w:rPr>
        <w:t>管理实施方案＞</w:t>
      </w:r>
      <w:r>
        <w:rPr>
          <w:rFonts w:hint="eastAsia" w:ascii="方正仿宋_GB2312" w:hAnsi="方正仿宋_GB2312" w:eastAsia="方正仿宋_GB2312" w:cs="方正仿宋_GB2312"/>
          <w:sz w:val="32"/>
          <w:szCs w:val="32"/>
        </w:rPr>
        <w:t>的通知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财预</w:t>
      </w:r>
      <w:r>
        <w:rPr>
          <w:rFonts w:hint="eastAsia" w:ascii="方正仿宋_GB2312" w:hAnsi="方正仿宋_GB2312" w:eastAsia="方正仿宋_GB2312" w:cs="方正仿宋_GB2312"/>
          <w:sz w:val="32"/>
          <w:szCs w:val="32"/>
        </w:rPr>
        <w:t>〔2019〕</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号）的要求，我们从“投入、过程、产出和效果”四个方面,对202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年淮北市烈山区乡村振兴二期项目进行了绩效评价。采取查阅资料、现场调查、综合分析和专家评判等相结合的方式，</w:t>
      </w:r>
      <w:r>
        <w:rPr>
          <w:rFonts w:hint="eastAsia" w:ascii="方正仿宋_GB2312" w:hAnsi="方正仿宋_GB2312" w:eastAsia="方正仿宋_GB2312" w:cs="方正仿宋_GB2312"/>
          <w:sz w:val="32"/>
          <w:szCs w:val="32"/>
          <w:lang w:val="en-US" w:eastAsia="zh-CN"/>
        </w:rPr>
        <w:t>秉承</w:t>
      </w:r>
      <w:r>
        <w:rPr>
          <w:rFonts w:hint="eastAsia" w:ascii="方正仿宋_GB2312" w:hAnsi="方正仿宋_GB2312" w:eastAsia="方正仿宋_GB2312" w:cs="方正仿宋_GB2312"/>
          <w:sz w:val="32"/>
          <w:szCs w:val="32"/>
        </w:rPr>
        <w:t>客观、公正、实事求是的原则，对202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年淮北市烈山区乡村振兴二期项目进行了量化考核。</w:t>
      </w:r>
    </w:p>
    <w:p>
      <w:pPr>
        <w:pageBreakBefore w:val="0"/>
        <w:numPr>
          <w:ilvl w:val="0"/>
          <w:numId w:val="0"/>
        </w:numPr>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考核评价结果</w:t>
      </w:r>
    </w:p>
    <w:p>
      <w:pPr>
        <w:pageBreakBefore w:val="0"/>
        <w:numPr>
          <w:ilvl w:val="0"/>
          <w:numId w:val="0"/>
        </w:numPr>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年淮北市烈山区乡村振兴二期项目绩效评价得分表》得分情况，</w:t>
      </w:r>
      <w:r>
        <w:rPr>
          <w:rFonts w:hint="eastAsia" w:ascii="方正仿宋_GB2312" w:hAnsi="方正仿宋_GB2312" w:eastAsia="方正仿宋_GB2312" w:cs="方正仿宋_GB2312"/>
          <w:sz w:val="32"/>
          <w:szCs w:val="32"/>
          <w:lang w:val="en-US" w:eastAsia="zh-CN"/>
        </w:rPr>
        <w:t>我们将</w:t>
      </w:r>
      <w:r>
        <w:rPr>
          <w:rFonts w:hint="eastAsia" w:ascii="方正仿宋_GB2312" w:hAnsi="方正仿宋_GB2312" w:eastAsia="方正仿宋_GB2312" w:cs="方正仿宋_GB2312"/>
          <w:sz w:val="32"/>
          <w:szCs w:val="32"/>
        </w:rPr>
        <w:t>评价结果分为四个等级，其中：评价得分（S≥90）为优秀，评价得分（90＞S≥80）为良好，评价得分（80＞S≥60）为中等，评价得分（S＜60）为差。通过评价，202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年淮北市烈山区乡村振兴二期项目，综合评价项目得分为</w:t>
      </w:r>
      <w:r>
        <w:rPr>
          <w:rFonts w:hint="eastAsia" w:ascii="方正仿宋_GB2312" w:hAnsi="方正仿宋_GB2312" w:eastAsia="方正仿宋_GB2312" w:cs="方正仿宋_GB2312"/>
          <w:sz w:val="32"/>
          <w:szCs w:val="32"/>
          <w:lang w:val="en-US" w:eastAsia="zh-CN"/>
        </w:rPr>
        <w:t>88</w:t>
      </w:r>
      <w:r>
        <w:rPr>
          <w:rFonts w:hint="eastAsia" w:ascii="方正仿宋_GB2312" w:hAnsi="方正仿宋_GB2312" w:eastAsia="方正仿宋_GB2312" w:cs="方正仿宋_GB2312"/>
          <w:sz w:val="32"/>
          <w:szCs w:val="32"/>
        </w:rPr>
        <w:t>分，评价结果为</w:t>
      </w:r>
      <w:r>
        <w:rPr>
          <w:rFonts w:hint="eastAsia" w:ascii="方正仿宋_GB2312" w:hAnsi="方正仿宋_GB2312" w:eastAsia="方正仿宋_GB2312" w:cs="方正仿宋_GB2312"/>
          <w:sz w:val="32"/>
          <w:szCs w:val="32"/>
          <w:lang w:val="en-US" w:eastAsia="zh-CN"/>
        </w:rPr>
        <w:t>良好</w:t>
      </w:r>
      <w:r>
        <w:rPr>
          <w:rFonts w:hint="eastAsia" w:ascii="方正仿宋_GB2312" w:hAnsi="方正仿宋_GB2312" w:eastAsia="方正仿宋_GB2312" w:cs="方正仿宋_GB2312"/>
          <w:sz w:val="32"/>
          <w:szCs w:val="32"/>
        </w:rPr>
        <w:t>。</w:t>
      </w:r>
    </w:p>
    <w:p>
      <w:pPr>
        <w:pageBreakBefore w:val="0"/>
        <w:numPr>
          <w:ilvl w:val="0"/>
          <w:numId w:val="1"/>
        </w:numPr>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存在问题</w:t>
      </w:r>
    </w:p>
    <w:p>
      <w:pPr>
        <w:pageBreakBefore w:val="0"/>
        <w:numPr>
          <w:ilvl w:val="0"/>
          <w:numId w:val="0"/>
        </w:numPr>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考核过程中发现2024年淮北市烈山区乡村振兴二期项目存在以下问题：（一）淮北市烈山区乡村振兴二期项目计划2025年6月竣工验收，但截至考评日尚未完工；（二）未发现相关部门开展监督检查，并对监督检查过程中发现的问题，提出整改建议；（三）人民群众对项目知晓率低，参与度不高。</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、意见建议</w:t>
      </w:r>
    </w:p>
    <w:p>
      <w:pPr>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针对以上问题，我们兹提出如下建议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加大项目实施力度，尽快完成项目完工验收，确保项目尽早发挥效益；（二）相关部门应不定期开展监督检查工作，并对监督检查工作中发现的问题，提出相关整改建议，确保项目顺利实施；（三）组织开展多种形式的宣传活动，提高人民群众的知晓率，让人民群众参与到项目中来，获得更多的幸福感。</w:t>
      </w:r>
    </w:p>
    <w:p>
      <w:pPr>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kern w:val="2"/>
          <w:sz w:val="32"/>
          <w:szCs w:val="32"/>
          <w:highlight w:val="none"/>
          <w:lang w:eastAsia="zh-CN"/>
        </w:rPr>
      </w:pPr>
      <w:r>
        <w:rPr>
          <w:rFonts w:hint="eastAsia" w:ascii="黑体" w:hAnsi="黑体" w:eastAsia="黑体" w:cs="黑体"/>
          <w:b w:val="0"/>
          <w:bCs w:val="0"/>
          <w:kern w:val="2"/>
          <w:sz w:val="32"/>
          <w:szCs w:val="32"/>
          <w:highlight w:val="none"/>
          <w:lang w:val="en-US" w:eastAsia="zh-CN"/>
        </w:rPr>
        <w:t>六</w:t>
      </w:r>
      <w:r>
        <w:rPr>
          <w:rFonts w:hint="eastAsia" w:ascii="黑体" w:hAnsi="黑体" w:eastAsia="黑体" w:cs="黑体"/>
          <w:b w:val="0"/>
          <w:bCs w:val="0"/>
          <w:kern w:val="2"/>
          <w:sz w:val="32"/>
          <w:szCs w:val="32"/>
          <w:highlight w:val="none"/>
          <w:lang w:eastAsia="zh-CN"/>
        </w:rPr>
        <w:t>、附件</w:t>
      </w:r>
    </w:p>
    <w:p>
      <w:pPr>
        <w:pageBreakBefore w:val="0"/>
        <w:wordWrap/>
        <w:overflowPunct/>
        <w:topLinePunct w:val="0"/>
        <w:bidi w:val="0"/>
        <w:adjustRightInd w:val="0"/>
        <w:spacing w:line="360" w:lineRule="auto"/>
        <w:jc w:val="left"/>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2024年</w:t>
      </w:r>
      <w:r>
        <w:rPr>
          <w:rFonts w:hint="eastAsia" w:ascii="方正仿宋_GB2312" w:hAnsi="方正仿宋_GB2312" w:eastAsia="方正仿宋_GB2312" w:cs="方正仿宋_GB2312"/>
          <w:sz w:val="32"/>
          <w:szCs w:val="32"/>
        </w:rPr>
        <w:t>淮北市烈山区</w:t>
      </w:r>
      <w:r>
        <w:rPr>
          <w:rFonts w:hint="eastAsia" w:ascii="方正仿宋_GB2312" w:hAnsi="方正仿宋_GB2312" w:eastAsia="方正仿宋_GB2312" w:cs="方正仿宋_GB2312"/>
          <w:sz w:val="32"/>
          <w:szCs w:val="32"/>
          <w:lang w:val="en-US" w:eastAsia="zh-CN"/>
        </w:rPr>
        <w:t>乡村振兴二期</w:t>
      </w:r>
      <w:r>
        <w:rPr>
          <w:rFonts w:hint="eastAsia" w:ascii="方正仿宋_GB2312" w:hAnsi="方正仿宋_GB2312" w:eastAsia="方正仿宋_GB2312" w:cs="方正仿宋_GB2312"/>
          <w:sz w:val="32"/>
          <w:szCs w:val="32"/>
        </w:rPr>
        <w:t>项目绩效评价得分表</w:t>
      </w:r>
      <w:r>
        <w:rPr>
          <w:rFonts w:hint="eastAsia" w:ascii="方正仿宋_GB2312" w:hAnsi="方正仿宋_GB2312" w:eastAsia="方正仿宋_GB2312" w:cs="方正仿宋_GB2312"/>
          <w:color w:val="auto"/>
          <w:sz w:val="32"/>
          <w:szCs w:val="32"/>
          <w:lang w:eastAsia="zh-CN"/>
        </w:rPr>
        <w:t>》</w:t>
      </w:r>
    </w:p>
    <w:p>
      <w:pPr>
        <w:pageBreakBefore w:val="0"/>
        <w:wordWrap/>
        <w:overflowPunct/>
        <w:topLinePunct w:val="0"/>
        <w:bidi w:val="0"/>
        <w:adjustRightInd w:val="0"/>
        <w:spacing w:line="360" w:lineRule="auto"/>
        <w:jc w:val="left"/>
        <w:rPr>
          <w:rFonts w:hint="eastAsia" w:ascii="方正仿宋_GB2312" w:hAnsi="方正仿宋_GB2312" w:eastAsia="方正仿宋_GB2312" w:cs="方正仿宋_GB2312"/>
          <w:color w:val="auto"/>
          <w:sz w:val="32"/>
          <w:szCs w:val="32"/>
          <w:lang w:eastAsia="zh-CN"/>
        </w:rPr>
      </w:pPr>
    </w:p>
    <w:p>
      <w:pPr>
        <w:pageBreakBefore w:val="0"/>
        <w:wordWrap/>
        <w:overflowPunct/>
        <w:topLinePunct w:val="0"/>
        <w:bidi w:val="0"/>
        <w:adjustRightInd w:val="0"/>
        <w:spacing w:line="360" w:lineRule="auto"/>
        <w:jc w:val="left"/>
        <w:rPr>
          <w:rFonts w:hint="eastAsia" w:ascii="方正仿宋_GB2312" w:hAnsi="方正仿宋_GB2312" w:eastAsia="方正仿宋_GB2312" w:cs="方正仿宋_GB2312"/>
          <w:color w:val="auto"/>
          <w:sz w:val="32"/>
          <w:szCs w:val="32"/>
          <w:lang w:eastAsia="zh-CN"/>
        </w:rPr>
      </w:pPr>
    </w:p>
    <w:p>
      <w:pPr>
        <w:pStyle w:val="3"/>
        <w:pageBreakBefore w:val="0"/>
        <w:wordWrap/>
        <w:overflowPunct/>
        <w:topLinePunct w:val="0"/>
        <w:bidi w:val="0"/>
        <w:spacing w:before="212" w:line="360" w:lineRule="auto"/>
        <w:jc w:val="right"/>
        <w:rPr>
          <w:rFonts w:hint="eastAsia" w:ascii="方正仿宋_GB2312" w:hAnsi="方正仿宋_GB2312" w:eastAsia="方正仿宋_GB2312" w:cs="方正仿宋_GB2312"/>
          <w:spacing w:val="46"/>
          <w:w w:val="104"/>
          <w:sz w:val="32"/>
          <w:szCs w:val="32"/>
          <w:highlight w:val="none"/>
          <w:lang w:eastAsia="zh-CN"/>
        </w:rPr>
      </w:pPr>
      <w:r>
        <w:rPr>
          <w:rFonts w:hint="eastAsia" w:ascii="方正仿宋_GB2312" w:hAnsi="方正仿宋_GB2312" w:eastAsia="方正仿宋_GB2312" w:cs="方正仿宋_GB2312"/>
          <w:spacing w:val="46"/>
          <w:w w:val="104"/>
          <w:sz w:val="32"/>
          <w:szCs w:val="32"/>
          <w:highlight w:val="none"/>
        </w:rPr>
        <w:t>202</w:t>
      </w:r>
      <w:r>
        <w:rPr>
          <w:rFonts w:hint="eastAsia" w:ascii="方正仿宋_GB2312" w:hAnsi="方正仿宋_GB2312" w:eastAsia="方正仿宋_GB2312" w:cs="方正仿宋_GB2312"/>
          <w:spacing w:val="46"/>
          <w:w w:val="104"/>
          <w:sz w:val="32"/>
          <w:szCs w:val="32"/>
          <w:highlight w:val="none"/>
          <w:lang w:val="en-US" w:eastAsia="zh-CN"/>
        </w:rPr>
        <w:t>5</w:t>
      </w:r>
      <w:r>
        <w:rPr>
          <w:rFonts w:hint="eastAsia" w:ascii="方正仿宋_GB2312" w:hAnsi="方正仿宋_GB2312" w:eastAsia="方正仿宋_GB2312" w:cs="方正仿宋_GB2312"/>
          <w:spacing w:val="46"/>
          <w:w w:val="104"/>
          <w:sz w:val="32"/>
          <w:szCs w:val="32"/>
          <w:highlight w:val="none"/>
        </w:rPr>
        <w:t>年</w:t>
      </w:r>
      <w:r>
        <w:rPr>
          <w:rFonts w:hint="eastAsia" w:ascii="方正仿宋_GB2312" w:hAnsi="方正仿宋_GB2312" w:eastAsia="方正仿宋_GB2312" w:cs="方正仿宋_GB2312"/>
          <w:spacing w:val="46"/>
          <w:w w:val="104"/>
          <w:sz w:val="32"/>
          <w:szCs w:val="32"/>
          <w:highlight w:val="none"/>
          <w:lang w:val="en-US" w:eastAsia="zh-CN"/>
        </w:rPr>
        <w:t>10</w:t>
      </w:r>
      <w:r>
        <w:rPr>
          <w:rFonts w:hint="eastAsia" w:ascii="方正仿宋_GB2312" w:hAnsi="方正仿宋_GB2312" w:eastAsia="方正仿宋_GB2312" w:cs="方正仿宋_GB2312"/>
          <w:spacing w:val="46"/>
          <w:w w:val="104"/>
          <w:sz w:val="32"/>
          <w:szCs w:val="32"/>
          <w:highlight w:val="none"/>
        </w:rPr>
        <w:t>月</w:t>
      </w:r>
      <w:r>
        <w:rPr>
          <w:rFonts w:hint="eastAsia" w:ascii="方正仿宋_GB2312" w:hAnsi="方正仿宋_GB2312" w:eastAsia="方正仿宋_GB2312" w:cs="方正仿宋_GB2312"/>
          <w:spacing w:val="46"/>
          <w:w w:val="104"/>
          <w:sz w:val="32"/>
          <w:szCs w:val="32"/>
          <w:highlight w:val="none"/>
          <w:lang w:val="en-US" w:eastAsia="zh-CN"/>
        </w:rPr>
        <w:t>1</w:t>
      </w:r>
      <w:bookmarkStart w:id="1" w:name="_GoBack"/>
      <w:bookmarkEnd w:id="1"/>
      <w:r>
        <w:rPr>
          <w:rFonts w:hint="eastAsia" w:ascii="方正仿宋_GB2312" w:hAnsi="方正仿宋_GB2312" w:eastAsia="方正仿宋_GB2312" w:cs="方正仿宋_GB2312"/>
          <w:spacing w:val="46"/>
          <w:w w:val="104"/>
          <w:sz w:val="32"/>
          <w:szCs w:val="32"/>
          <w:highlight w:val="none"/>
          <w:lang w:val="en-US" w:eastAsia="zh-CN"/>
        </w:rPr>
        <w:t>0</w:t>
      </w:r>
      <w:r>
        <w:rPr>
          <w:rFonts w:hint="eastAsia" w:ascii="方正仿宋_GB2312" w:hAnsi="方正仿宋_GB2312" w:eastAsia="方正仿宋_GB2312" w:cs="方正仿宋_GB2312"/>
          <w:spacing w:val="46"/>
          <w:w w:val="104"/>
          <w:sz w:val="32"/>
          <w:szCs w:val="32"/>
          <w:highlight w:val="none"/>
        </w:rPr>
        <w:t>日</w:t>
      </w:r>
    </w:p>
    <w:p>
      <w:pPr>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highlight w:val="none"/>
          <w:lang w:eastAsia="zh-CN"/>
        </w:rPr>
      </w:pPr>
    </w:p>
    <w:p>
      <w:pPr>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highlight w:val="none"/>
          <w:lang w:eastAsia="zh-CN"/>
        </w:rPr>
      </w:pPr>
    </w:p>
    <w:p>
      <w:pPr>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highlight w:val="none"/>
          <w:lang w:eastAsia="zh-CN"/>
        </w:rPr>
      </w:pPr>
    </w:p>
    <w:tbl>
      <w:tblPr>
        <w:tblStyle w:val="5"/>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49"/>
        <w:gridCol w:w="566"/>
        <w:gridCol w:w="1731"/>
        <w:gridCol w:w="918"/>
        <w:gridCol w:w="567"/>
        <w:gridCol w:w="3973"/>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tblHeader/>
          <w:jc w:val="center"/>
        </w:trPr>
        <w:tc>
          <w:tcPr>
            <w:tcW w:w="8522" w:type="dxa"/>
            <w:gridSpan w:val="7"/>
            <w:tcBorders>
              <w:top w:val="nil"/>
              <w:left w:val="nil"/>
              <w:bottom w:val="nil"/>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2024年淮北市烈山区乡村振兴二期项目绩效评价得分表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tblHeader/>
          <w:jc w:val="center"/>
        </w:trPr>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序号</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一级指标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sz w:val="11"/>
                <w:szCs w:val="11"/>
              </w:rPr>
            </w:pPr>
            <w:r>
              <w:rPr>
                <w:rFonts w:hint="eastAsia" w:ascii="宋体" w:hAnsi="宋体" w:eastAsia="宋体" w:cs="宋体"/>
                <w:b/>
                <w:bCs/>
                <w:i w:val="0"/>
                <w:iCs w:val="0"/>
                <w:color w:val="000000"/>
                <w:kern w:val="0"/>
                <w:sz w:val="11"/>
                <w:szCs w:val="11"/>
                <w:u w:val="none"/>
                <w:lang w:val="en-US" w:eastAsia="zh-CN" w:bidi="ar"/>
              </w:rPr>
              <w:t>二级指标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三级指标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sz w:val="11"/>
                <w:szCs w:val="11"/>
              </w:rPr>
            </w:pPr>
            <w:r>
              <w:rPr>
                <w:rFonts w:hint="eastAsia" w:ascii="宋体" w:hAnsi="宋体" w:eastAsia="宋体" w:cs="宋体"/>
                <w:b/>
                <w:bCs/>
                <w:i w:val="0"/>
                <w:iCs w:val="0"/>
                <w:color w:val="000000"/>
                <w:kern w:val="0"/>
                <w:sz w:val="11"/>
                <w:szCs w:val="11"/>
                <w:u w:val="none"/>
                <w:lang w:val="en-US" w:eastAsia="zh-CN" w:bidi="ar"/>
              </w:rPr>
              <w:t>指标分值</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评分标准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w:t>
            </w:r>
          </w:p>
        </w:tc>
        <w:tc>
          <w:tcPr>
            <w:tcW w:w="5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投入</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（22分）</w:t>
            </w:r>
          </w:p>
        </w:tc>
        <w:tc>
          <w:tcPr>
            <w:tcW w:w="17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项目</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立项</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（12分）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项目立项规范性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1、项目是否按照规定的程序申请设立，得2分，；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2、项目是否已经过必要的可行性研究、专家论证、风险评估、集体决策等，得2分。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绩效目标合理性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1、符合国家法律法规、国民经济和社会发展需要，为促进当地经济和社会发展所需要，得2分，否则不得分；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2、项目总体目标和年度计划设定合理，得2分，否则不得分。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绩效目标明确性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1、设计充分，将项目绩效目标细化分解为具体的、清晰、可衡量的绩效指标，得2分；否则，不得分。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2、安排实施的项目与年度任务数相对应，得1分；否则，不得分。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3、安排实施的项目与预算确定的项目投资额相匹配，得1分；否则，不得分。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资金</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落实</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（10分）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资金到位率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资金到位率100%为满分，每降低一个百分点扣0.2分，扣完为止。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资金使用率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after="180" w:afterAutospacing="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按照有关规定或合同约定及时拨付使用专项补助资金的，得 5分。 否则，发现一次扣0.5分，扣完为止。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w:t>
            </w:r>
          </w:p>
        </w:tc>
        <w:tc>
          <w:tcPr>
            <w:tcW w:w="5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过程</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（28分）</w:t>
            </w:r>
          </w:p>
        </w:tc>
        <w:tc>
          <w:tcPr>
            <w:tcW w:w="17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组织实施</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（13分）</w:t>
            </w:r>
          </w:p>
        </w:tc>
        <w:tc>
          <w:tcPr>
            <w:tcW w:w="9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制度建设</w:t>
            </w:r>
          </w:p>
        </w:tc>
        <w:tc>
          <w:tcPr>
            <w:tcW w:w="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建立了各项业务管理制度，工程项目严格实施了项目招标制、项目合同制、项目监理制、竣工验收制、结算审计等各项制度，得5分，缺一项扣1分，扣完为止。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制度落实</w:t>
            </w:r>
          </w:p>
        </w:tc>
        <w:tc>
          <w:tcPr>
            <w:tcW w:w="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8</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1.项目实施严格按照要求实施了项目招标制、项目合同制、项目监理制、竣工验收制、工程结算审计等制度，得3分，缺一项，扣0.5分，扣完为止；</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2、项目实施过程中未发现质量或安全生产事故，得3分，发生一次重大质量或安全生产事故的，扣完；</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3、工程项目质量验收合格，得2分；未验收合格的，不得分。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173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财务管理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（15分）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财务管理制度健全性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1、已制定或具体相应的项目资金管理办法，得 3分。 </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 xml:space="preserve">2、项目资金管理办法符合相关财务会计制度的规定，得 2 分。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资金使用合规性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6</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1、符合国家财经法规和财务管理制度以及有关专项资金管理办法的规定，得 2 分。 </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 xml:space="preserve">2、资金的拨付有完整的审批程序和手续，得 2 分。 </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 xml:space="preserve">3、符合项目预算批复或合同规定的用途，得 2 分。                                                </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4、上述1-3项，如出现违规现象，出现一次扣1分，扣完6分为止；如出现截留、挤占、挪用、虚列支出等情况，扣6分。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1731"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监督检查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4</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1、项目主管部门定期、不定期开展资金监督检查工作，得 2分，否则不得分。 </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 xml:space="preserve">2、项目主管部门对监督检查过程中发现的问题，责令项目单位整改，且项目单位及时整改的，得2分，否则不得分。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5"/>
                <w:u w:val="none"/>
              </w:rPr>
            </w:pPr>
            <w:r>
              <w:rPr>
                <w:rFonts w:hint="eastAsia" w:ascii="宋体" w:hAnsi="宋体" w:eastAsia="宋体" w:cs="宋体"/>
                <w:i w:val="0"/>
                <w:iCs w:val="0"/>
                <w:color w:val="000000"/>
                <w:kern w:val="0"/>
                <w:sz w:val="11"/>
                <w:szCs w:val="15"/>
                <w:u w:val="none"/>
                <w:lang w:val="en-US" w:eastAsia="zh-CN" w:bidi="ar"/>
              </w:rPr>
              <w:t>三</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（30分）</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项目</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产出</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实际完成率100%，得10分；每降低一个百分点扣0.5分，扣完为止。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质量达标率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项目质量验收合规、达到标准，得10分，否则不得分。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完成及时性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按照项目实施计划或在相关规定期限内完成该项目，得10分；降低5%，得1分，扣完为止。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5"/>
                <w:u w:val="none"/>
              </w:rPr>
            </w:pPr>
            <w:r>
              <w:rPr>
                <w:rFonts w:hint="eastAsia" w:ascii="宋体" w:hAnsi="宋体" w:eastAsia="宋体" w:cs="宋体"/>
                <w:i w:val="0"/>
                <w:iCs w:val="0"/>
                <w:color w:val="000000"/>
                <w:kern w:val="0"/>
                <w:sz w:val="11"/>
                <w:szCs w:val="15"/>
                <w:u w:val="none"/>
                <w:lang w:val="en-US" w:eastAsia="zh-CN" w:bidi="ar"/>
              </w:rPr>
              <w:t>四</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效果</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（20分）</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项目</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效益</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1.项目的实施，有效改善了当地经济、社会环境，促进了经济快速发展和进步，得2分；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2.预计收益能够合理保障偿还融资本金和利息，实现项目收益与融资自求平衡，得3分；否则，不得分。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社会可持续发展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5</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项目的实施增强农村发展活力，改善农村人居环境，有效促进农村精神文明建设，进一步促进地区经济社会的可持续发展，促进社会文明和谐、促进全面建成小康社会具有重大作用，得5分。</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5"/>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11"/>
                <w:szCs w:val="11"/>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宋体" w:eastAsia="宋体"/>
                <w:sz w:val="11"/>
                <w:szCs w:val="11"/>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sz w:val="11"/>
                <w:szCs w:val="11"/>
              </w:rPr>
            </w:pPr>
            <w:r>
              <w:rPr>
                <w:rFonts w:hint="eastAsia" w:ascii="宋体" w:hAnsi="宋体" w:eastAsia="宋体" w:cs="宋体"/>
                <w:i w:val="0"/>
                <w:iCs w:val="0"/>
                <w:color w:val="000000"/>
                <w:kern w:val="0"/>
                <w:sz w:val="11"/>
                <w:szCs w:val="11"/>
                <w:u w:val="none"/>
                <w:lang w:val="en-US" w:eastAsia="zh-CN" w:bidi="ar"/>
              </w:rPr>
              <w:t>10</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1.社会公众知道、了解、关注项目的实施，得5分；</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2.人民群众对项目的实施，表示很满意或满意100%，得5分，每降低5个百分点扣1分，扣完为止。</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合计</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b/>
                <w:bCs/>
                <w:i w:val="0"/>
                <w:iCs w:val="0"/>
                <w:color w:val="000000"/>
                <w:sz w:val="11"/>
                <w:szCs w:val="11"/>
                <w:u w:val="none"/>
              </w:rPr>
            </w:pPr>
            <w:r>
              <w:rPr>
                <w:rFonts w:hint="default" w:ascii="宋体" w:hAnsi="Times New Roman" w:eastAsia="宋体" w:cs="Times New Roman"/>
                <w:b/>
                <w:bCs/>
                <w:i w:val="0"/>
                <w:iCs w:val="0"/>
                <w:color w:val="000000"/>
                <w:kern w:val="0"/>
                <w:sz w:val="11"/>
                <w:szCs w:val="11"/>
                <w:u w:val="none"/>
                <w:lang w:val="en-US" w:eastAsia="zh-CN" w:bidi="ar"/>
              </w:rPr>
              <w:t xml:space="preserve">100.00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宋体" w:eastAsia="宋体"/>
                <w:b/>
                <w:sz w:val="11"/>
                <w:szCs w:val="11"/>
              </w:rPr>
            </w:pPr>
            <w:r>
              <w:rPr>
                <w:rFonts w:hint="default" w:ascii="宋体" w:hAnsi="Times New Roman" w:eastAsia="宋体" w:cs="Times New Roman"/>
                <w:b/>
                <w:bCs/>
                <w:i w:val="0"/>
                <w:iCs w:val="0"/>
                <w:color w:val="000000"/>
                <w:kern w:val="0"/>
                <w:sz w:val="11"/>
                <w:szCs w:val="11"/>
                <w:u w:val="none"/>
                <w:lang w:val="en-US" w:eastAsia="zh-CN" w:bidi="ar"/>
              </w:rPr>
              <w:t xml:space="preserve">100.00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宋体" w:eastAsia="宋体"/>
                <w:b/>
                <w:sz w:val="11"/>
                <w:szCs w:val="11"/>
              </w:rPr>
            </w:pPr>
            <w:r>
              <w:rPr>
                <w:rFonts w:hint="default" w:ascii="宋体" w:hAnsi="Times New Roman" w:eastAsia="宋体" w:cs="Times New Roman"/>
                <w:b/>
                <w:bCs/>
                <w:i w:val="0"/>
                <w:iCs w:val="0"/>
                <w:color w:val="000000"/>
                <w:kern w:val="0"/>
                <w:sz w:val="11"/>
                <w:szCs w:val="11"/>
                <w:u w:val="none"/>
                <w:lang w:val="en-US" w:eastAsia="zh-CN" w:bidi="ar"/>
              </w:rPr>
              <w:t xml:space="preserve">100.00 </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 xml:space="preserve">88.00 </w:t>
            </w:r>
          </w:p>
        </w:tc>
      </w:tr>
    </w:tbl>
    <w:p>
      <w:pPr>
        <w:pStyle w:val="2"/>
        <w:pageBreakBefore w:val="0"/>
        <w:wordWrap/>
        <w:overflowPunct/>
        <w:topLinePunct w:val="0"/>
        <w:bidi w:val="0"/>
        <w:spacing w:line="360" w:lineRule="auto"/>
        <w:ind w:firstLine="643" w:firstLineChars="200"/>
        <w:rPr>
          <w:rFonts w:hint="eastAsia" w:ascii="方正仿宋_GB2312" w:hAnsi="方正仿宋_GB2312" w:eastAsia="方正仿宋_GB2312" w:cs="方正仿宋_GB2312"/>
          <w:sz w:val="32"/>
          <w:szCs w:val="32"/>
          <w:highlight w:val="none"/>
          <w:lang w:eastAsia="zh-CN"/>
        </w:rPr>
      </w:pPr>
    </w:p>
    <w:p>
      <w:pPr>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24C5B2-8316-4751-A1C9-5480338A96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embedRegular r:id="rId2" w:fontKey="{8A935539-215B-4F5A-A271-6B5ED7CB9855}"/>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6D07B8C1-9F8D-463B-902C-C85425C4F632}"/>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embedRegular r:id="rId4" w:fontKey="{E2826505-B66D-494C-BDC9-0A664DB05922}"/>
  </w:font>
  <w:font w:name="方正仿宋_GB2312">
    <w:panose1 w:val="02000000000000000000"/>
    <w:charset w:val="86"/>
    <w:family w:val="auto"/>
    <w:pitch w:val="default"/>
    <w:sig w:usb0="00000000" w:usb1="00000000" w:usb2="00000000" w:usb3="00000000" w:csb0="00000000" w:csb1="00000000"/>
    <w:embedRegular r:id="rId5" w:fontKey="{3693DD75-6230-4CA0-A6FF-47F7B61C2D26}"/>
  </w:font>
  <w:font w:name="WPSEMBED4">
    <w:altName w:val="宋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27685726">
    <w:nsid w:val="7ED1E85E"/>
    <w:multiLevelType w:val="singleLevel"/>
    <w:tmpl w:val="7ED1E85E"/>
    <w:lvl w:ilvl="0" w:tentative="1">
      <w:start w:val="4"/>
      <w:numFmt w:val="chineseCounting"/>
      <w:suff w:val="nothing"/>
      <w:lvlText w:val="%1、"/>
      <w:lvlJc w:val="left"/>
      <w:rPr>
        <w:rFonts w:hint="eastAsia"/>
      </w:rPr>
    </w:lvl>
  </w:abstractNum>
  <w:num w:numId="1">
    <w:abstractNumId w:val="21276857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E6F11"/>
    <w:rsid w:val="03751C38"/>
    <w:rsid w:val="201900EE"/>
    <w:rsid w:val="25EE6F11"/>
    <w:rsid w:val="33941A2F"/>
    <w:rsid w:val="353C245D"/>
    <w:rsid w:val="3690384C"/>
    <w:rsid w:val="36EC1C61"/>
    <w:rsid w:val="392B3F82"/>
    <w:rsid w:val="3E846C23"/>
    <w:rsid w:val="3F451D12"/>
    <w:rsid w:val="535B7AFB"/>
    <w:rsid w:val="5BE84759"/>
    <w:rsid w:val="7D1F44CD"/>
    <w:rsid w:val="7F517E80"/>
    <w:rsid w:val="7F7D6E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customStyle="1" w:styleId="6">
    <w:name w:val="_Style 2"/>
    <w:basedOn w:val="1"/>
    <w:qFormat/>
    <w:uiPriority w:val="0"/>
    <w:pPr>
      <w:spacing w:line="351" w:lineRule="atLeast"/>
      <w:ind w:firstLine="623"/>
    </w:pPr>
    <w:rPr>
      <w:rFonts w:ascii="Times New Roman" w:hAnsi="Times New Roman"/>
      <w:sz w:val="31"/>
      <w:szCs w:val="31"/>
    </w:rPr>
  </w:style>
  <w:style w:type="character" w:customStyle="1" w:styleId="7">
    <w:name w:val="font41"/>
    <w:basedOn w:val="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3300</Words>
  <Characters>3559</Characters>
  <Lines>0</Lines>
  <Paragraphs>0</Paragraphs>
  <TotalTime>0</TotalTime>
  <ScaleCrop>false</ScaleCrop>
  <LinksUpToDate>false</LinksUpToDate>
  <CharactersWithSpaces>3629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2025-08-11T06:48:00Z</dcterms:created>
  <dc:creator>WPS_1657505118</dc:creator>
  <cp:lastModifiedBy>LS01</cp:lastModifiedBy>
  <dcterms:modified xsi:type="dcterms:W3CDTF">2025-11-24T06:52:50Z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E4417375CDA947E4BA5B87A6F198E043_13</vt:lpwstr>
  </property>
  <property fmtid="{D5CDD505-2E9C-101B-9397-08002B2CF9AE}" pid="4" name="KSOTemplateDocerSaveRecord">
    <vt:lpwstr>eyJoZGlkIjoiMjllMWFkZTk0ZjA5NWM4ZTRmZDg2ODliMDJlMjVjMzkiLCJ1c2VySWQiOiIxMzgyODQ4NTY4In0=</vt:lpwstr>
  </property>
</Properties>
</file>