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ageBreakBefore w:val="0"/>
        <w:wordWrap/>
        <w:overflowPunct/>
        <w:topLinePunct w:val="0"/>
        <w:bidi w:val="0"/>
        <w:adjustRightInd w:val="0"/>
        <w:spacing w:line="240" w:lineRule="auto"/>
        <w:ind w:firstLine="720" w:firstLineChars="200"/>
        <w:jc w:val="center"/>
        <w:rPr>
          <w:rFonts w:hint="eastAsia" w:ascii="方正小标宋简体" w:hAnsi="方正小标宋简体" w:eastAsia="方正小标宋简体" w:cs="方正小标宋简体"/>
          <w:b w:val="0"/>
          <w:bCs w:val="0"/>
          <w:sz w:val="36"/>
          <w:szCs w:val="36"/>
        </w:rPr>
      </w:pPr>
      <w:bookmarkStart w:id="0" w:name="_GoBack"/>
      <w:r>
        <w:rPr>
          <w:rFonts w:hint="eastAsia" w:ascii="方正小标宋简体" w:hAnsi="方正小标宋简体" w:eastAsia="方正小标宋简体" w:cs="方正小标宋简体"/>
          <w:b w:val="0"/>
          <w:bCs w:val="0"/>
          <w:sz w:val="36"/>
          <w:szCs w:val="36"/>
        </w:rPr>
        <w:t>20</w:t>
      </w:r>
      <w:r>
        <w:rPr>
          <w:rFonts w:hint="eastAsia" w:ascii="方正小标宋简体" w:hAnsi="方正小标宋简体" w:eastAsia="方正小标宋简体" w:cs="方正小标宋简体"/>
          <w:b w:val="0"/>
          <w:bCs w:val="0"/>
          <w:sz w:val="36"/>
          <w:szCs w:val="36"/>
          <w:lang w:val="en-US" w:eastAsia="zh-CN"/>
        </w:rPr>
        <w:t>24</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val="en-US" w:eastAsia="zh-CN"/>
        </w:rPr>
        <w:t>淮北市烈山区农业高质量发展资金</w:t>
      </w:r>
      <w:r>
        <w:rPr>
          <w:rFonts w:hint="eastAsia" w:ascii="方正小标宋简体" w:hAnsi="方正小标宋简体" w:eastAsia="方正小标宋简体" w:cs="方正小标宋简体"/>
          <w:b w:val="0"/>
          <w:bCs w:val="0"/>
          <w:sz w:val="36"/>
          <w:szCs w:val="36"/>
        </w:rPr>
        <w:t>项目</w:t>
      </w:r>
    </w:p>
    <w:p>
      <w:pPr>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绩效评价</w:t>
      </w:r>
      <w:r>
        <w:rPr>
          <w:rFonts w:hint="eastAsia" w:ascii="方正小标宋简体" w:hAnsi="方正小标宋简体" w:eastAsia="方正小标宋简体" w:cs="方正小标宋简体"/>
          <w:b w:val="0"/>
          <w:bCs w:val="0"/>
          <w:sz w:val="36"/>
          <w:szCs w:val="36"/>
          <w:lang w:eastAsia="zh-CN"/>
        </w:rPr>
        <w:t>报告摘编</w:t>
      </w:r>
    </w:p>
    <w:bookmarkEnd w:id="0"/>
    <w:p>
      <w:pPr>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b w:val="0"/>
          <w:bCs w:val="0"/>
          <w:sz w:val="36"/>
          <w:szCs w:val="36"/>
          <w:lang w:eastAsia="zh-CN"/>
        </w:rPr>
      </w:pPr>
    </w:p>
    <w:p>
      <w:pPr>
        <w:pageBreakBefore w:val="0"/>
        <w:wordWrap/>
        <w:overflowPunct/>
        <w:topLinePunct w:val="0"/>
        <w:bidi w:val="0"/>
        <w:adjustRightInd w:val="0"/>
        <w:spacing w:line="240" w:lineRule="auto"/>
        <w:ind w:firstLine="562" w:firstLineChars="200"/>
        <w:jc w:val="left"/>
        <w:rPr>
          <w:rFonts w:hint="eastAsia" w:ascii="仿宋" w:hAnsi="仿宋" w:eastAsia="仿宋" w:cs="仿宋"/>
          <w:b/>
          <w:bCs/>
          <w:sz w:val="28"/>
          <w:szCs w:val="28"/>
        </w:rPr>
      </w:pP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（一）项目概况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淮北市烈山区农业高质量发展资金项目，包括高素质农民培育、农作物重大病虫害防治、省级粮食生产规模主体补贴、商品有机肥推广应用四个子项目。即培育经营管理型、专业生产型和技能服务型农民240人，完成24万亩小麦赤霉病防治，补贴全区300亩及以上种粮大户、经营主体，加快商品有机肥推广应用，提高畜禽养殖废弃物、农作物秸秆资源综合利用率、提升耕地质量、降低化肥用量，促进农作物提质增效。</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（二）项目任务完成情况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2024年淮北市烈山区农业高质量发展资金项目，已完成高素质农民培育240人，其中：新型农业经营者主体10人，畜牧兽医从业人员40人，专业生产型150人，技能服务型40人，培训合格率100%；完成烈山镇、宋疃镇、古饶镇及杨庄办24万亩小麦两遍赤霉病防治；已种粮大户补贴60万元；推广应用商品有机肥3070.50吨。</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（三）项目资金到位及使用情况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2024年淮北市烈山区农业高质量发展资金项目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项目资金232万元，其中：中央及省财政资金232.00万元。</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截止2024年末，</w:t>
      </w:r>
      <w:r>
        <w:rPr>
          <w:rFonts w:hint="eastAsia" w:ascii="方正仿宋_GB2312" w:hAnsi="方正仿宋_GB2312" w:eastAsia="方正仿宋_GB2312" w:cs="方正仿宋_GB2312"/>
          <w:sz w:val="32"/>
          <w:szCs w:val="32"/>
        </w:rPr>
        <w:t>淮北市烈山区农业高质量发展资金项目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已到位资金232.00万元，资金到位率100%，其中：中央及省财政资金232.00万元，资金到位率100%。已支付项目资金220.00万元，资金支付率94.83%。其中：中央及省财政资金220.00万元。</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二、绩效评价</w:t>
      </w:r>
      <w:r>
        <w:rPr>
          <w:rFonts w:hint="eastAsia" w:ascii="黑体" w:hAnsi="黑体" w:eastAsia="黑体" w:cs="黑体"/>
          <w:b w:val="0"/>
          <w:bCs w:val="0"/>
          <w:sz w:val="32"/>
          <w:szCs w:val="32"/>
          <w:lang w:val="en-US" w:eastAsia="zh-CN"/>
        </w:rPr>
        <w:t>方法</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烈山区财政局聘请第三方机构安徽世诚会计师事务所，第三方机构</w:t>
      </w:r>
      <w:r>
        <w:rPr>
          <w:rFonts w:hint="eastAsia" w:ascii="方正仿宋_GB2312" w:hAnsi="方正仿宋_GB2312" w:eastAsia="方正仿宋_GB2312" w:cs="方正仿宋_GB2312"/>
          <w:sz w:val="32"/>
          <w:szCs w:val="32"/>
        </w:rPr>
        <w:t>按照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财政部关于印发＜项目支出</w:t>
      </w:r>
      <w:r>
        <w:rPr>
          <w:rFonts w:hint="eastAsia" w:ascii="方正仿宋_GB2312" w:hAnsi="方正仿宋_GB2312" w:eastAsia="方正仿宋_GB2312" w:cs="方正仿宋_GB2312"/>
          <w:sz w:val="32"/>
          <w:szCs w:val="32"/>
        </w:rPr>
        <w:t>绩效评价</w:t>
      </w:r>
      <w:r>
        <w:rPr>
          <w:rFonts w:hint="eastAsia" w:ascii="方正仿宋_GB2312" w:hAnsi="方正仿宋_GB2312" w:eastAsia="方正仿宋_GB2312" w:cs="方正仿宋_GB2312"/>
          <w:sz w:val="32"/>
          <w:szCs w:val="32"/>
          <w:lang w:val="en-US" w:eastAsia="zh-CN"/>
        </w:rPr>
        <w:t>管理实施方案＞</w:t>
      </w:r>
      <w:r>
        <w:rPr>
          <w:rFonts w:hint="eastAsia" w:ascii="方正仿宋_GB2312" w:hAnsi="方正仿宋_GB2312" w:eastAsia="方正仿宋_GB2312" w:cs="方正仿宋_GB2312"/>
          <w:sz w:val="32"/>
          <w:szCs w:val="32"/>
        </w:rPr>
        <w:t>的通知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财预</w:t>
      </w:r>
      <w:r>
        <w:rPr>
          <w:rFonts w:hint="eastAsia" w:ascii="方正仿宋_GB2312" w:hAnsi="方正仿宋_GB2312" w:eastAsia="方正仿宋_GB2312" w:cs="方正仿宋_GB2312"/>
          <w:sz w:val="32"/>
          <w:szCs w:val="32"/>
        </w:rPr>
        <w:t>〔2019〕</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号）的要求，从“投入、过程、产出和效果”四个方面,对2024年淮北市烈山区农业高质量发展资金项目进行了绩效评价。采取查阅资料、现场调查、综合分析和专家评判等相结合的方式，本着客观、公正、实事求是的原则，对2024年淮北市烈山区农业高质量发展资金项目进行了量化考核。</w:t>
      </w:r>
    </w:p>
    <w:p>
      <w:pPr>
        <w:pageBreakBefore w:val="0"/>
        <w:numPr>
          <w:ilvl w:val="0"/>
          <w:numId w:val="0"/>
        </w:numPr>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考核评价结果</w:t>
      </w:r>
    </w:p>
    <w:p>
      <w:pPr>
        <w:pageBreakBefore w:val="0"/>
        <w:numPr>
          <w:ilvl w:val="0"/>
          <w:numId w:val="0"/>
        </w:numPr>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w:t>
      </w:r>
      <w:r>
        <w:rPr>
          <w:rFonts w:hint="eastAsia" w:ascii="方正仿宋_GB2312" w:hAnsi="方正仿宋_GB2312" w:eastAsia="方正仿宋_GB2312" w:cs="方正仿宋_GB2312"/>
          <w:sz w:val="32"/>
          <w:szCs w:val="32"/>
          <w:lang w:val="en-US" w:eastAsia="zh-CN"/>
        </w:rPr>
        <w:t>农业高质量发展资金</w:t>
      </w:r>
      <w:r>
        <w:rPr>
          <w:rFonts w:hint="eastAsia" w:ascii="方正仿宋_GB2312" w:hAnsi="方正仿宋_GB2312" w:eastAsia="方正仿宋_GB2312" w:cs="方正仿宋_GB2312"/>
          <w:sz w:val="32"/>
          <w:szCs w:val="32"/>
        </w:rPr>
        <w:t>项目绩效评价得分表》得分情况，</w:t>
      </w:r>
      <w:r>
        <w:rPr>
          <w:rFonts w:hint="eastAsia" w:ascii="方正仿宋_GB2312" w:hAnsi="方正仿宋_GB2312" w:eastAsia="方正仿宋_GB2312" w:cs="方正仿宋_GB2312"/>
          <w:sz w:val="32"/>
          <w:szCs w:val="32"/>
          <w:lang w:val="en-US" w:eastAsia="zh-CN"/>
        </w:rPr>
        <w:t>我们将</w:t>
      </w:r>
      <w:r>
        <w:rPr>
          <w:rFonts w:hint="eastAsia" w:ascii="方正仿宋_GB2312" w:hAnsi="方正仿宋_GB2312" w:eastAsia="方正仿宋_GB2312" w:cs="方正仿宋_GB2312"/>
          <w:sz w:val="32"/>
          <w:szCs w:val="32"/>
        </w:rPr>
        <w:t>评价结果分为四个等级，其中：评价得分（S≥90）为优秀，评价得分（90＞S≥80）为良好，评价得分（80＞S≥60）为中等，评价得分（S＜60）为差。通过评价，202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年淮北市烈山区农业高质量发展资金项目，综合评价项目得分为</w:t>
      </w:r>
      <w:r>
        <w:rPr>
          <w:rFonts w:hint="eastAsia" w:ascii="方正仿宋_GB2312" w:hAnsi="方正仿宋_GB2312" w:eastAsia="方正仿宋_GB2312" w:cs="方正仿宋_GB2312"/>
          <w:sz w:val="32"/>
          <w:szCs w:val="32"/>
          <w:lang w:val="en-US" w:eastAsia="zh-CN"/>
        </w:rPr>
        <w:t>93.40</w:t>
      </w:r>
      <w:r>
        <w:rPr>
          <w:rFonts w:hint="eastAsia" w:ascii="方正仿宋_GB2312" w:hAnsi="方正仿宋_GB2312" w:eastAsia="方正仿宋_GB2312" w:cs="方正仿宋_GB2312"/>
          <w:sz w:val="32"/>
          <w:szCs w:val="32"/>
        </w:rPr>
        <w:t>分，评价结果为</w:t>
      </w:r>
      <w:r>
        <w:rPr>
          <w:rFonts w:hint="eastAsia" w:ascii="方正仿宋_GB2312" w:hAnsi="方正仿宋_GB2312" w:eastAsia="方正仿宋_GB2312" w:cs="方正仿宋_GB2312"/>
          <w:sz w:val="32"/>
          <w:szCs w:val="32"/>
          <w:lang w:val="en-US" w:eastAsia="zh-CN"/>
        </w:rPr>
        <w:t>优秀</w:t>
      </w:r>
      <w:r>
        <w:rPr>
          <w:rFonts w:hint="eastAsia" w:ascii="方正仿宋_GB2312" w:hAnsi="方正仿宋_GB2312" w:eastAsia="方正仿宋_GB2312" w:cs="方正仿宋_GB2312"/>
          <w:sz w:val="32"/>
          <w:szCs w:val="32"/>
        </w:rPr>
        <w:t>。</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存在问题</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考评过程中，发现2024年淮北市烈山区农业高质量发展资金项目，在实施过程中存在以下几个问题：（一）项目资金拨付不及时，截至2024年末尚有项目资金12.00万元，未支付；（二）项目实施过程中，相关部门未开展监督检查工作。</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、意见建议</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2"/>
          <w:sz w:val="32"/>
          <w:szCs w:val="32"/>
          <w:lang w:eastAsia="zh-CN"/>
        </w:rPr>
      </w:pPr>
      <w:r>
        <w:rPr>
          <w:rFonts w:hint="eastAsia" w:ascii="方正仿宋_GB2312" w:hAnsi="方正仿宋_GB2312" w:eastAsia="方正仿宋_GB2312" w:cs="方正仿宋_GB2312"/>
          <w:sz w:val="32"/>
          <w:szCs w:val="32"/>
        </w:rPr>
        <w:t>针对以上问题，我们兹提出如下建议：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尽快协调相关部门，加快对项目资金的拨付；（二）项目实施过程中，相关部门未开展监督检查工作，并对监督检查中发现的问题，提出相关建议，确保项目顺利实施。</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kern w:val="2"/>
          <w:sz w:val="32"/>
          <w:szCs w:val="32"/>
          <w:highlight w:val="none"/>
          <w:lang w:eastAsia="zh-CN"/>
        </w:rPr>
      </w:pPr>
      <w:r>
        <w:rPr>
          <w:rFonts w:hint="eastAsia" w:ascii="黑体" w:hAnsi="黑体" w:eastAsia="黑体" w:cs="黑体"/>
          <w:b w:val="0"/>
          <w:bCs w:val="0"/>
          <w:kern w:val="2"/>
          <w:sz w:val="32"/>
          <w:szCs w:val="32"/>
          <w:highlight w:val="none"/>
          <w:lang w:val="en-US" w:eastAsia="zh-CN"/>
        </w:rPr>
        <w:t>六</w:t>
      </w:r>
      <w:r>
        <w:rPr>
          <w:rFonts w:hint="eastAsia" w:ascii="黑体" w:hAnsi="黑体" w:eastAsia="黑体" w:cs="黑体"/>
          <w:b w:val="0"/>
          <w:bCs w:val="0"/>
          <w:kern w:val="2"/>
          <w:sz w:val="32"/>
          <w:szCs w:val="32"/>
          <w:highlight w:val="none"/>
          <w:lang w:eastAsia="zh-CN"/>
        </w:rPr>
        <w:t>、附件</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年淮北市烈山区农业高质量发展资金项目</w:t>
      </w:r>
      <w:r>
        <w:rPr>
          <w:rFonts w:hint="eastAsia" w:ascii="方正仿宋_GB2312" w:hAnsi="方正仿宋_GB2312" w:eastAsia="方正仿宋_GB2312" w:cs="方正仿宋_GB2312"/>
          <w:sz w:val="32"/>
          <w:szCs w:val="32"/>
          <w:lang w:val="en-US" w:eastAsia="zh-CN"/>
        </w:rPr>
        <w:t>绩效</w:t>
      </w:r>
      <w:r>
        <w:rPr>
          <w:rFonts w:hint="eastAsia" w:ascii="方正仿宋_GB2312" w:hAnsi="方正仿宋_GB2312" w:eastAsia="方正仿宋_GB2312" w:cs="方正仿宋_GB2312"/>
          <w:color w:val="auto"/>
          <w:sz w:val="32"/>
          <w:szCs w:val="32"/>
        </w:rPr>
        <w:t>评价得分表</w:t>
      </w:r>
      <w:r>
        <w:rPr>
          <w:rFonts w:hint="eastAsia" w:ascii="方正仿宋_GB2312" w:hAnsi="方正仿宋_GB2312" w:eastAsia="方正仿宋_GB2312" w:cs="方正仿宋_GB2312"/>
          <w:color w:val="auto"/>
          <w:sz w:val="32"/>
          <w:szCs w:val="32"/>
          <w:lang w:eastAsia="zh-CN"/>
        </w:rPr>
        <w:t>》</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lang w:eastAsia="zh-CN"/>
        </w:rPr>
      </w:pPr>
    </w:p>
    <w:p>
      <w:pPr>
        <w:pStyle w:val="3"/>
        <w:pageBreakBefore w:val="0"/>
        <w:wordWrap/>
        <w:overflowPunct/>
        <w:topLinePunct w:val="0"/>
        <w:bidi w:val="0"/>
        <w:spacing w:before="212" w:line="360" w:lineRule="auto"/>
        <w:jc w:val="right"/>
        <w:rPr>
          <w:rFonts w:hint="eastAsia" w:ascii="方正仿宋_GB2312" w:hAnsi="方正仿宋_GB2312" w:eastAsia="方正仿宋_GB2312" w:cs="方正仿宋_GB2312"/>
          <w:spacing w:val="46"/>
          <w:w w:val="104"/>
          <w:sz w:val="32"/>
          <w:szCs w:val="32"/>
          <w:highlight w:val="none"/>
        </w:rPr>
      </w:pPr>
      <w:r>
        <w:rPr>
          <w:rFonts w:hint="eastAsia" w:ascii="方正仿宋_GB2312" w:hAnsi="方正仿宋_GB2312" w:eastAsia="方正仿宋_GB2312" w:cs="方正仿宋_GB2312"/>
          <w:spacing w:val="46"/>
          <w:w w:val="104"/>
          <w:sz w:val="32"/>
          <w:szCs w:val="32"/>
          <w:highlight w:val="none"/>
        </w:rPr>
        <w:t>202</w:t>
      </w:r>
      <w:r>
        <w:rPr>
          <w:rFonts w:hint="eastAsia" w:ascii="方正仿宋_GB2312" w:hAnsi="方正仿宋_GB2312" w:eastAsia="方正仿宋_GB2312" w:cs="方正仿宋_GB2312"/>
          <w:spacing w:val="46"/>
          <w:w w:val="104"/>
          <w:sz w:val="32"/>
          <w:szCs w:val="32"/>
          <w:highlight w:val="none"/>
          <w:lang w:val="en-US" w:eastAsia="zh-CN"/>
        </w:rPr>
        <w:t>5</w:t>
      </w:r>
      <w:r>
        <w:rPr>
          <w:rFonts w:hint="eastAsia" w:ascii="方正仿宋_GB2312" w:hAnsi="方正仿宋_GB2312" w:eastAsia="方正仿宋_GB2312" w:cs="方正仿宋_GB2312"/>
          <w:spacing w:val="46"/>
          <w:w w:val="104"/>
          <w:sz w:val="32"/>
          <w:szCs w:val="32"/>
          <w:highlight w:val="none"/>
        </w:rPr>
        <w:t>年</w:t>
      </w:r>
      <w:r>
        <w:rPr>
          <w:rFonts w:hint="eastAsia" w:ascii="方正仿宋_GB2312" w:hAnsi="方正仿宋_GB2312" w:eastAsia="方正仿宋_GB2312" w:cs="方正仿宋_GB2312"/>
          <w:spacing w:val="46"/>
          <w:w w:val="104"/>
          <w:sz w:val="32"/>
          <w:szCs w:val="32"/>
          <w:highlight w:val="none"/>
          <w:lang w:val="en-US" w:eastAsia="zh-CN"/>
        </w:rPr>
        <w:t>10</w:t>
      </w:r>
      <w:r>
        <w:rPr>
          <w:rFonts w:hint="eastAsia" w:ascii="方正仿宋_GB2312" w:hAnsi="方正仿宋_GB2312" w:eastAsia="方正仿宋_GB2312" w:cs="方正仿宋_GB2312"/>
          <w:spacing w:val="46"/>
          <w:w w:val="104"/>
          <w:sz w:val="32"/>
          <w:szCs w:val="32"/>
          <w:highlight w:val="none"/>
        </w:rPr>
        <w:t>月</w:t>
      </w:r>
      <w:r>
        <w:rPr>
          <w:rFonts w:hint="eastAsia" w:ascii="方正仿宋_GB2312" w:hAnsi="方正仿宋_GB2312" w:eastAsia="方正仿宋_GB2312" w:cs="方正仿宋_GB2312"/>
          <w:spacing w:val="46"/>
          <w:w w:val="104"/>
          <w:sz w:val="32"/>
          <w:szCs w:val="32"/>
          <w:highlight w:val="none"/>
          <w:lang w:val="en-US" w:eastAsia="zh-CN"/>
        </w:rPr>
        <w:t>10</w:t>
      </w:r>
      <w:r>
        <w:rPr>
          <w:rFonts w:hint="eastAsia" w:ascii="方正仿宋_GB2312" w:hAnsi="方正仿宋_GB2312" w:eastAsia="方正仿宋_GB2312" w:cs="方正仿宋_GB2312"/>
          <w:spacing w:val="46"/>
          <w:w w:val="104"/>
          <w:sz w:val="32"/>
          <w:szCs w:val="32"/>
          <w:highlight w:val="none"/>
        </w:rPr>
        <w:t>日</w:t>
      </w:r>
    </w:p>
    <w:p>
      <w:pPr>
        <w:pStyle w:val="3"/>
        <w:pageBreakBefore w:val="0"/>
        <w:wordWrap/>
        <w:overflowPunct/>
        <w:topLinePunct w:val="0"/>
        <w:bidi w:val="0"/>
        <w:spacing w:before="212" w:line="360" w:lineRule="auto"/>
        <w:jc w:val="right"/>
        <w:rPr>
          <w:rFonts w:hint="eastAsia" w:ascii="方正仿宋_GB2312" w:hAnsi="方正仿宋_GB2312" w:eastAsia="方正仿宋_GB2312" w:cs="方正仿宋_GB2312"/>
          <w:spacing w:val="46"/>
          <w:w w:val="104"/>
          <w:sz w:val="32"/>
          <w:szCs w:val="32"/>
          <w:highlight w:val="none"/>
        </w:rPr>
      </w:pPr>
    </w:p>
    <w:p>
      <w:pPr>
        <w:pStyle w:val="3"/>
        <w:pageBreakBefore w:val="0"/>
        <w:wordWrap/>
        <w:overflowPunct/>
        <w:topLinePunct w:val="0"/>
        <w:bidi w:val="0"/>
        <w:spacing w:before="212" w:line="360" w:lineRule="auto"/>
        <w:jc w:val="right"/>
        <w:rPr>
          <w:rFonts w:hint="eastAsia" w:ascii="方正仿宋_GB2312" w:hAnsi="方正仿宋_GB2312" w:eastAsia="方正仿宋_GB2312" w:cs="方正仿宋_GB2312"/>
          <w:spacing w:val="46"/>
          <w:w w:val="104"/>
          <w:sz w:val="32"/>
          <w:szCs w:val="32"/>
          <w:highlight w:val="none"/>
        </w:rPr>
      </w:pPr>
    </w:p>
    <w:p>
      <w:pPr>
        <w:pStyle w:val="3"/>
        <w:pageBreakBefore w:val="0"/>
        <w:wordWrap/>
        <w:overflowPunct/>
        <w:topLinePunct w:val="0"/>
        <w:bidi w:val="0"/>
        <w:spacing w:before="212" w:line="360" w:lineRule="auto"/>
        <w:jc w:val="right"/>
        <w:rPr>
          <w:rFonts w:hint="eastAsia" w:ascii="方正仿宋_GB2312" w:hAnsi="方正仿宋_GB2312" w:eastAsia="方正仿宋_GB2312" w:cs="方正仿宋_GB2312"/>
          <w:spacing w:val="46"/>
          <w:w w:val="104"/>
          <w:sz w:val="32"/>
          <w:szCs w:val="32"/>
          <w:highlight w:val="none"/>
          <w:lang w:eastAsia="zh-CN"/>
        </w:rPr>
      </w:pPr>
    </w:p>
    <w:tbl>
      <w:tblPr>
        <w:tblStyle w:val="5"/>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78"/>
        <w:gridCol w:w="901"/>
        <w:gridCol w:w="976"/>
        <w:gridCol w:w="1177"/>
        <w:gridCol w:w="617"/>
        <w:gridCol w:w="3808"/>
        <w:gridCol w:w="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tblHeader/>
          <w:jc w:val="center"/>
        </w:trPr>
        <w:tc>
          <w:tcPr>
            <w:tcW w:w="8434" w:type="dxa"/>
            <w:gridSpan w:val="7"/>
            <w:tcBorders>
              <w:top w:val="nil"/>
              <w:left w:val="nil"/>
              <w:bottom w:val="nil"/>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2024年淮北市烈山区农业高质量发展资金项目绩效评价得分表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tblHeader/>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7"/>
                <w:lang w:val="en-US" w:eastAsia="zh-CN" w:bidi="ar"/>
              </w:rPr>
              <w:t>指标分值</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（22分）</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项目立项规范性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1、项目是否按照规定的程序申请设立，得2分，；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2、项目是否已经过必要的可行性研究、专家论证、风险评估、集体决策等，得2分。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1、符合国家法律法规、国民经济和社会发展需要，为促进当地经济和社会发展所需要，得2分，否则不得分；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2、项目总体目标和年度计划设定合理，得2分，否则不得分。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绩效目标明确性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1、设计充分，将项目绩效目标细化分解为具体的、清晰、可衡量的绩效指标，得2分；否则，不得分。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2、安排实施的项目与年度任务数相对应，得1分；否则，不得分。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3、安排实施的项目与预算确定的项目投资额相匹配，得1分；否则，不得分。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落实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资金到位率100%为满分，每降低一个百分点扣0.5分，扣完为止。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after="180" w:afterAutospacing="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按照有关规定或合同约定及时拨付使用专项补助资金的，得 5分。 否则，发现一次扣0.5分，扣完为止。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（28分）</w:t>
            </w:r>
          </w:p>
        </w:tc>
        <w:tc>
          <w:tcPr>
            <w:tcW w:w="97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制度建设</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针对各个子项目业务不同的情况，分别制定相关业务管理制度，如：第一课堂、公开、公示、审核、暗访等制度，得5分，缺一项扣1分，扣完为止。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制度落实</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1.各项目实施过程中，严格落实各项规章制度，未发现制度没有实施情况，得3分，；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2、未发现项目未公开、公示等情形的，得5分，发现一次未公示已实施，举报的，扣完；</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财务管理制度健全性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1、已制定或具体相应的项目资金管理办法，得 3分。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2、项目资金管理办法符合相关财务会计制度的规定，得 2 分。 </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1、符合国家财经法规和财务管理制度以及有关专项资金管理办法的规定，得 2 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2、资金的拨付有完整的审批程序和手续，得 2 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3、符合项目预算批复或合同规定的用途，得 2 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4、上述1-3项，如出现违规现象，出现一次扣1分，扣完6分为止；如出现截留、挤占、挪用、虚列支出等情况，扣6分。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监督检查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1、项目主管部门定期、不定期开展资金监督检查工作，得 2分，否则不得分。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2、项目主管部门对监督检查过程中发现的问题，责令项目单位整改，且项目单位及时整改的，得2分，否则不得分。 </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实际完成率100%，得10分；每降低一个百分点扣0.5分，扣完为止。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项目质量验收合规、达到标准，得10分，否则不得分。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按照项目实施计划或在相关规定期限内完成该项目，得10分；完成项目90%，得5分；完成项目80%，得0分。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1.项目的实施，有效改善了当地经济、社会环境，促进了经济快速发展和进步，得2分；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2.预计收益能够合理保障偿还融资本金和利息，实现项目收益与融资自求平衡，得3分；否则，不得分。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社会可持续发展</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项目的实施，发挥示范带头作用，进一步促进地区经济社会的可持续发展，得5分。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1.社会公众知道、了解、关注项目的实施，得5分；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2.人民群众对项目的实施，表示很满意或满意100%，得5分，每降低五个百分点扣一分，扣完为止。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100.00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100.00 </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93.40 </w:t>
            </w:r>
          </w:p>
        </w:tc>
      </w:tr>
    </w:tbl>
    <w:p>
      <w:pPr>
        <w:pStyle w:val="2"/>
        <w:pageBreakBefore w:val="0"/>
        <w:wordWrap/>
        <w:overflowPunct/>
        <w:topLinePunct w:val="0"/>
        <w:bidi w:val="0"/>
        <w:spacing w:line="360" w:lineRule="auto"/>
        <w:ind w:firstLine="643" w:firstLineChars="200"/>
        <w:rPr>
          <w:rFonts w:hint="eastAsia" w:ascii="方正仿宋_GB2312" w:hAnsi="方正仿宋_GB2312" w:eastAsia="方正仿宋_GB2312" w:cs="方正仿宋_GB2312"/>
          <w:sz w:val="32"/>
          <w:szCs w:val="32"/>
          <w:highlight w:val="none"/>
          <w:lang w:eastAsia="zh-CN"/>
        </w:rPr>
      </w:pPr>
    </w:p>
    <w:p>
      <w:pPr>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WPSEMBED5">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E6F11"/>
    <w:rsid w:val="0DF7197E"/>
    <w:rsid w:val="23C11B30"/>
    <w:rsid w:val="25EE6F11"/>
    <w:rsid w:val="3CB0382F"/>
    <w:rsid w:val="3F451D12"/>
    <w:rsid w:val="4B035925"/>
    <w:rsid w:val="7D1F44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customStyle="1" w:styleId="6">
    <w:name w:val="_Style 2"/>
    <w:basedOn w:val="1"/>
    <w:qFormat/>
    <w:uiPriority w:val="0"/>
    <w:pPr>
      <w:spacing w:line="351" w:lineRule="atLeast"/>
      <w:ind w:firstLine="623"/>
    </w:pPr>
    <w:rPr>
      <w:rFonts w:ascii="Times New Roman" w:hAnsi="Times New Roman"/>
      <w:sz w:val="31"/>
      <w:szCs w:val="31"/>
    </w:rPr>
  </w:style>
  <w:style w:type="character" w:customStyle="1" w:styleId="7">
    <w:name w:val="font41"/>
    <w:basedOn w:val="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2412</Words>
  <Characters>2603</Characters>
  <Lines>0</Lines>
  <Paragraphs>0</Paragraphs>
  <TotalTime>0</TotalTime>
  <ScaleCrop>false</ScaleCrop>
  <LinksUpToDate>false</LinksUpToDate>
  <CharactersWithSpaces>2673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2025-08-11T06:48:00Z</dcterms:created>
  <dc:creator>WPS_1657505118</dc:creator>
  <cp:lastModifiedBy>LS01</cp:lastModifiedBy>
  <dcterms:modified xsi:type="dcterms:W3CDTF">2025-11-24T06:57:36Z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624986C92B774099BA766A7D74E32FB3_13</vt:lpwstr>
  </property>
  <property fmtid="{D5CDD505-2E9C-101B-9397-08002B2CF9AE}" pid="4" name="KSOTemplateDocerSaveRecord">
    <vt:lpwstr>eyJoZGlkIjoiMjllMWFkZTk0ZjA5NWM4ZTRmZDg2ODliMDJlMjVjMzkiLCJ1c2VySWQiOiIxMzgyODQ4NTY4In0=</vt:lpwstr>
  </property>
</Properties>
</file>