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8B943">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7454ABAF"/>
    <w:p w14:paraId="0B706E85"/>
    <w:p w14:paraId="529BE786"/>
    <w:p w14:paraId="60B8A3A7"/>
    <w:p w14:paraId="4FD2E21E"/>
    <w:p w14:paraId="6F9FF15A"/>
    <w:p w14:paraId="53D69570"/>
    <w:p w14:paraId="74BF870E"/>
    <w:p w14:paraId="4181D669">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烈山区机关事务管理中心2025</w:t>
      </w:r>
      <w:r>
        <w:rPr>
          <w:rFonts w:hint="eastAsia" w:ascii="TimesNewRoman" w:hAnsi="TimesNewRoman" w:eastAsia="华文中宋" w:cs="TimesNewRoman"/>
          <w:b/>
          <w:sz w:val="44"/>
          <w:szCs w:val="44"/>
        </w:rPr>
        <w:t>年</w:t>
      </w:r>
    </w:p>
    <w:p w14:paraId="61DA02B6">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单位预算</w:t>
      </w:r>
    </w:p>
    <w:p w14:paraId="5C6F59A0"/>
    <w:p w14:paraId="1E47F136"/>
    <w:p w14:paraId="0803ED3A"/>
    <w:p w14:paraId="228E8847"/>
    <w:p w14:paraId="20961880"/>
    <w:p w14:paraId="46559B39"/>
    <w:p w14:paraId="35750ACD"/>
    <w:p w14:paraId="46B73D84"/>
    <w:p w14:paraId="0489C42B"/>
    <w:p w14:paraId="0ECAD440"/>
    <w:p w14:paraId="7805D63D"/>
    <w:p w14:paraId="633213FF"/>
    <w:p w14:paraId="2B47297E"/>
    <w:p w14:paraId="253472B6"/>
    <w:p w14:paraId="77946580"/>
    <w:p w14:paraId="5654029F"/>
    <w:p w14:paraId="7A7857EE"/>
    <w:p w14:paraId="79670698"/>
    <w:p w14:paraId="4BD23CA4"/>
    <w:p w14:paraId="307A7895"/>
    <w:p w14:paraId="369AC685"/>
    <w:p w14:paraId="4CF39822"/>
    <w:p w14:paraId="369A9CB3">
      <w:pPr>
        <w:pStyle w:val="5"/>
        <w:adjustRightInd w:val="0"/>
        <w:snapToGrid w:val="0"/>
        <w:spacing w:line="560" w:lineRule="exact"/>
        <w:jc w:val="center"/>
        <w:rPr>
          <w:rFonts w:ascii="TimesNewRoman" w:hAnsi="TimesNewRoman" w:eastAsia="黑体" w:cs="TimesNewRoman"/>
          <w:bCs/>
          <w:sz w:val="44"/>
          <w:szCs w:val="44"/>
        </w:rPr>
      </w:pPr>
    </w:p>
    <w:p w14:paraId="600251E3">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lang w:eastAsia="zh-CN"/>
        </w:rPr>
        <w:t>2025</w:t>
      </w:r>
      <w:r>
        <w:rPr>
          <w:rFonts w:hint="eastAsia" w:ascii="TimesNewRoman" w:hAnsi="TimesNewRoman" w:eastAsia="黑体" w:cs="TimesNewRoman"/>
          <w:bCs/>
          <w:sz w:val="44"/>
          <w:szCs w:val="44"/>
        </w:rPr>
        <w:t>年</w:t>
      </w:r>
      <w:r>
        <w:rPr>
          <w:rFonts w:hint="eastAsia" w:ascii="TimesNewRoman" w:hAnsi="TimesNewRoman" w:eastAsia="黑体" w:cs="TimesNewRoman"/>
          <w:bCs/>
          <w:sz w:val="44"/>
          <w:szCs w:val="44"/>
          <w:lang w:val="en-US" w:eastAsia="zh-CN"/>
        </w:rPr>
        <w:t>1</w:t>
      </w:r>
      <w:r>
        <w:rPr>
          <w:rFonts w:hint="eastAsia" w:ascii="TimesNewRoman" w:hAnsi="TimesNewRoman" w:eastAsia="黑体" w:cs="TimesNewRoman"/>
          <w:bCs/>
          <w:sz w:val="44"/>
          <w:szCs w:val="44"/>
        </w:rPr>
        <w:t>月</w:t>
      </w:r>
    </w:p>
    <w:p w14:paraId="6414B5F9"/>
    <w:p w14:paraId="76C912DB"/>
    <w:p w14:paraId="68E86F45">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45ED7248"/>
    <w:p w14:paraId="57AE3F06">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单位概况</w:t>
      </w:r>
    </w:p>
    <w:p w14:paraId="297E1606">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1DF94DE1">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2、单位预算构成</w:t>
      </w:r>
    </w:p>
    <w:p w14:paraId="5D6CB3F8">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年度主要工作任务</w:t>
      </w:r>
    </w:p>
    <w:p w14:paraId="0AB9533C">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第二部分 </w:t>
      </w:r>
      <w:r>
        <w:rPr>
          <w:rFonts w:hint="eastAsia" w:ascii="TimesNewRoman" w:hAnsi="TimesNewRoman" w:eastAsia="仿宋_GB2312" w:cs="TimesNewRoman"/>
          <w:b/>
          <w:sz w:val="32"/>
          <w:szCs w:val="32"/>
          <w:lang w:eastAsia="zh-CN"/>
        </w:rPr>
        <w:t>2025</w:t>
      </w:r>
      <w:r>
        <w:rPr>
          <w:rFonts w:hint="eastAsia" w:ascii="TimesNewRoman" w:hAnsi="TimesNewRoman" w:eastAsia="仿宋_GB2312" w:cs="TimesNewRoman"/>
          <w:b/>
          <w:sz w:val="32"/>
          <w:szCs w:val="32"/>
        </w:rPr>
        <w:t>年单位预算表</w:t>
      </w:r>
    </w:p>
    <w:p w14:paraId="5036D971">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烈山区机关事务管理中心2025</w:t>
      </w:r>
      <w:r>
        <w:rPr>
          <w:rFonts w:hint="eastAsia" w:ascii="TimesNewRoman" w:hAnsi="TimesNewRoman" w:eastAsia="仿宋_GB2312" w:cs="TimesNewRoman"/>
          <w:bCs/>
          <w:sz w:val="32"/>
          <w:szCs w:val="32"/>
        </w:rPr>
        <w:t>年收支总表</w:t>
      </w:r>
    </w:p>
    <w:p w14:paraId="6C9B8392">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烈山区机关事务管理中心2025</w:t>
      </w:r>
      <w:r>
        <w:rPr>
          <w:rFonts w:hint="eastAsia" w:ascii="TimesNewRoman" w:hAnsi="TimesNewRoman" w:eastAsia="仿宋_GB2312" w:cs="TimesNewRoman"/>
          <w:bCs/>
          <w:sz w:val="32"/>
          <w:szCs w:val="32"/>
        </w:rPr>
        <w:t>年收入总表</w:t>
      </w:r>
    </w:p>
    <w:p w14:paraId="28A3E1DC">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w:t>
      </w:r>
      <w:r>
        <w:rPr>
          <w:rFonts w:hint="eastAsia" w:ascii="TimesNewRoman" w:hAnsi="TimesNewRoman" w:eastAsia="仿宋_GB2312" w:cs="TimesNewRoman"/>
          <w:bCs/>
          <w:sz w:val="32"/>
          <w:szCs w:val="32"/>
          <w:lang w:eastAsia="zh-CN"/>
        </w:rPr>
        <w:t>烈山区机关事务管理中心2025</w:t>
      </w:r>
      <w:r>
        <w:rPr>
          <w:rFonts w:hint="eastAsia" w:ascii="TimesNewRoman" w:hAnsi="TimesNewRoman" w:eastAsia="仿宋_GB2312" w:cs="TimesNewRoman"/>
          <w:bCs/>
          <w:sz w:val="32"/>
          <w:szCs w:val="32"/>
        </w:rPr>
        <w:t>年支出总表</w:t>
      </w:r>
    </w:p>
    <w:p w14:paraId="1817CAEF">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w:t>
      </w:r>
      <w:r>
        <w:rPr>
          <w:rFonts w:hint="eastAsia" w:ascii="TimesNewRoman" w:hAnsi="TimesNewRoman" w:eastAsia="仿宋_GB2312" w:cs="TimesNewRoman"/>
          <w:bCs/>
          <w:sz w:val="32"/>
          <w:szCs w:val="32"/>
          <w:lang w:eastAsia="zh-CN"/>
        </w:rPr>
        <w:t>烈山区机关事务管理中心2025</w:t>
      </w:r>
      <w:r>
        <w:rPr>
          <w:rFonts w:hint="eastAsia" w:ascii="TimesNewRoman" w:hAnsi="TimesNewRoman" w:eastAsia="仿宋_GB2312" w:cs="TimesNewRoman"/>
          <w:bCs/>
          <w:sz w:val="32"/>
          <w:szCs w:val="32"/>
        </w:rPr>
        <w:t>年财政拨款收支总表</w:t>
      </w:r>
    </w:p>
    <w:p w14:paraId="3E29820D">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w:t>
      </w:r>
      <w:r>
        <w:rPr>
          <w:rFonts w:hint="eastAsia" w:ascii="TimesNewRoman" w:hAnsi="TimesNewRoman" w:eastAsia="仿宋_GB2312" w:cs="TimesNewRoman"/>
          <w:bCs/>
          <w:sz w:val="32"/>
          <w:szCs w:val="32"/>
          <w:lang w:eastAsia="zh-CN"/>
        </w:rPr>
        <w:t>烈山区机关事务管理中心2025</w:t>
      </w:r>
      <w:r>
        <w:rPr>
          <w:rFonts w:hint="eastAsia" w:ascii="TimesNewRoman" w:hAnsi="TimesNewRoman" w:eastAsia="仿宋_GB2312" w:cs="TimesNewRoman"/>
          <w:bCs/>
          <w:sz w:val="32"/>
          <w:szCs w:val="32"/>
        </w:rPr>
        <w:t>年一般公共预算支出表</w:t>
      </w:r>
    </w:p>
    <w:p w14:paraId="47D674D9">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w:t>
      </w:r>
      <w:r>
        <w:rPr>
          <w:rFonts w:hint="eastAsia" w:ascii="TimesNewRoman" w:hAnsi="TimesNewRoman" w:eastAsia="仿宋_GB2312" w:cs="TimesNewRoman"/>
          <w:bCs/>
          <w:sz w:val="32"/>
          <w:szCs w:val="32"/>
          <w:lang w:eastAsia="zh-CN"/>
        </w:rPr>
        <w:t>烈山区机关事务管理中心2025</w:t>
      </w:r>
      <w:r>
        <w:rPr>
          <w:rFonts w:hint="eastAsia" w:ascii="TimesNewRoman" w:hAnsi="TimesNewRoman" w:eastAsia="仿宋_GB2312" w:cs="TimesNewRoman"/>
          <w:bCs/>
          <w:sz w:val="32"/>
          <w:szCs w:val="32"/>
        </w:rPr>
        <w:t>年一般公共预算基本支出表</w:t>
      </w:r>
    </w:p>
    <w:p w14:paraId="144C4438">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w:t>
      </w:r>
      <w:r>
        <w:rPr>
          <w:rFonts w:hint="eastAsia" w:ascii="TimesNewRoman" w:hAnsi="TimesNewRoman" w:eastAsia="仿宋_GB2312" w:cs="TimesNewRoman"/>
          <w:bCs/>
          <w:sz w:val="32"/>
          <w:szCs w:val="32"/>
          <w:lang w:eastAsia="zh-CN"/>
        </w:rPr>
        <w:t>烈山区机关事务管理中心2025</w:t>
      </w:r>
      <w:r>
        <w:rPr>
          <w:rFonts w:hint="eastAsia" w:ascii="TimesNewRoman" w:hAnsi="TimesNewRoman" w:eastAsia="仿宋_GB2312" w:cs="TimesNewRoman"/>
          <w:bCs/>
          <w:sz w:val="32"/>
          <w:szCs w:val="32"/>
        </w:rPr>
        <w:t>年政府性基金预算支出表</w:t>
      </w:r>
    </w:p>
    <w:p w14:paraId="52937C10">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w:t>
      </w:r>
      <w:r>
        <w:rPr>
          <w:rFonts w:hint="eastAsia" w:ascii="TimesNewRoman" w:hAnsi="TimesNewRoman" w:eastAsia="仿宋_GB2312" w:cs="TimesNewRoman"/>
          <w:bCs/>
          <w:sz w:val="32"/>
          <w:szCs w:val="32"/>
          <w:lang w:eastAsia="zh-CN"/>
        </w:rPr>
        <w:t>烈山区机关事务管理中心2025</w:t>
      </w:r>
      <w:r>
        <w:rPr>
          <w:rFonts w:hint="eastAsia" w:ascii="TimesNewRoman" w:hAnsi="TimesNewRoman" w:eastAsia="仿宋_GB2312" w:cs="TimesNewRoman"/>
          <w:bCs/>
          <w:sz w:val="32"/>
          <w:szCs w:val="32"/>
        </w:rPr>
        <w:t>年国有资本经营预算支出表</w:t>
      </w:r>
    </w:p>
    <w:p w14:paraId="5D6C6B53">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w:t>
      </w:r>
      <w:r>
        <w:rPr>
          <w:rFonts w:hint="eastAsia" w:ascii="TimesNewRoman" w:hAnsi="TimesNewRoman" w:eastAsia="仿宋_GB2312" w:cs="TimesNewRoman"/>
          <w:bCs/>
          <w:sz w:val="32"/>
          <w:szCs w:val="32"/>
          <w:lang w:eastAsia="zh-CN"/>
        </w:rPr>
        <w:t>烈山区机关事务管理中心2025</w:t>
      </w:r>
      <w:r>
        <w:rPr>
          <w:rFonts w:hint="eastAsia" w:ascii="TimesNewRoman" w:hAnsi="TimesNewRoman" w:eastAsia="仿宋_GB2312" w:cs="TimesNewRoman"/>
          <w:bCs/>
          <w:sz w:val="32"/>
          <w:szCs w:val="32"/>
        </w:rPr>
        <w:t>年项目支出表</w:t>
      </w:r>
    </w:p>
    <w:p w14:paraId="7C0E50DF">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w:t>
      </w:r>
      <w:r>
        <w:rPr>
          <w:rFonts w:hint="eastAsia" w:ascii="TimesNewRoman" w:hAnsi="TimesNewRoman" w:eastAsia="仿宋_GB2312" w:cs="TimesNewRoman"/>
          <w:bCs/>
          <w:sz w:val="32"/>
          <w:szCs w:val="32"/>
          <w:lang w:eastAsia="zh-CN"/>
        </w:rPr>
        <w:t>烈山区机关事务管理中心2025</w:t>
      </w:r>
      <w:r>
        <w:rPr>
          <w:rFonts w:hint="eastAsia" w:ascii="TimesNewRoman" w:hAnsi="TimesNewRoman" w:eastAsia="仿宋_GB2312" w:cs="TimesNewRoman"/>
          <w:bCs/>
          <w:sz w:val="32"/>
          <w:szCs w:val="32"/>
        </w:rPr>
        <w:t>年政府采购支出表</w:t>
      </w:r>
    </w:p>
    <w:p w14:paraId="3E5696DF">
      <w:pPr>
        <w:pStyle w:val="5"/>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11、淮北市</w:t>
      </w:r>
      <w:r>
        <w:rPr>
          <w:rFonts w:hint="eastAsia" w:ascii="TimesNewRoman" w:hAnsi="TimesNewRoman" w:eastAsia="仿宋_GB2312" w:cs="TimesNewRoman"/>
          <w:bCs/>
          <w:sz w:val="32"/>
          <w:szCs w:val="32"/>
          <w:lang w:eastAsia="zh-CN"/>
        </w:rPr>
        <w:t>烈山区机关事务管理中心2025</w:t>
      </w:r>
      <w:r>
        <w:rPr>
          <w:rFonts w:hint="eastAsia" w:ascii="TimesNewRoman" w:hAnsi="TimesNewRoman" w:eastAsia="仿宋_GB2312" w:cs="TimesNewRoman"/>
          <w:bCs/>
          <w:sz w:val="32"/>
          <w:szCs w:val="32"/>
        </w:rPr>
        <w:t>年政府购买服务支出表</w:t>
      </w:r>
    </w:p>
    <w:p w14:paraId="484A2A8C">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w:t>
      </w:r>
      <w:r>
        <w:rPr>
          <w:rFonts w:hint="eastAsia" w:ascii="TimesNewRoman" w:hAnsi="TimesNewRoman" w:eastAsia="仿宋_GB2312" w:cs="TimesNewRoman"/>
          <w:bCs/>
          <w:sz w:val="32"/>
          <w:szCs w:val="32"/>
          <w:lang w:eastAsia="zh-CN"/>
        </w:rPr>
        <w:t>烈山区机关事务管理中心2025</w:t>
      </w:r>
      <w:r>
        <w:rPr>
          <w:rFonts w:ascii="TimesNewRoman" w:hAnsi="TimesNewRoman" w:eastAsia="仿宋_GB2312" w:cs="TimesNewRoman"/>
          <w:bCs/>
          <w:sz w:val="32"/>
          <w:szCs w:val="32"/>
        </w:rPr>
        <w:t>年通用资产配置支出表</w:t>
      </w:r>
    </w:p>
    <w:p w14:paraId="74913813">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TimesNewRoman" w:hAnsi="TimesNewRoman" w:eastAsia="仿宋_GB2312" w:cs="TimesNewRoman"/>
          <w:b/>
          <w:sz w:val="32"/>
          <w:szCs w:val="32"/>
          <w:lang w:eastAsia="zh-CN"/>
        </w:rPr>
        <w:t>2025</w:t>
      </w:r>
      <w:r>
        <w:rPr>
          <w:rFonts w:hint="eastAsia" w:ascii="TimesNewRoman" w:hAnsi="TimesNewRoman" w:eastAsia="仿宋_GB2312" w:cs="TimesNewRoman"/>
          <w:b/>
          <w:sz w:val="32"/>
          <w:szCs w:val="32"/>
        </w:rPr>
        <w:t>年单位预算情况说明</w:t>
      </w:r>
    </w:p>
    <w:p w14:paraId="40B924D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年收支总表的说明</w:t>
      </w:r>
    </w:p>
    <w:p w14:paraId="48F2F010">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年收入总表的说明</w:t>
      </w:r>
    </w:p>
    <w:p w14:paraId="4024458D">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年支出总表的说明</w:t>
      </w:r>
    </w:p>
    <w:p w14:paraId="3FE434CB">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年财政拨款收支总表的说明</w:t>
      </w:r>
    </w:p>
    <w:p w14:paraId="006BDDA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年一般公共预算支出表的说明</w:t>
      </w:r>
    </w:p>
    <w:p w14:paraId="7D49D53F">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年一般公共预算基本支出表的说明</w:t>
      </w:r>
    </w:p>
    <w:p w14:paraId="2D49E24C">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年政府性基金预算支出表的说明</w:t>
      </w:r>
    </w:p>
    <w:p w14:paraId="498C5A69">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年国有资本经营预算支出表的说明</w:t>
      </w:r>
    </w:p>
    <w:p w14:paraId="41C9BFEA">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年项目支出表的说明</w:t>
      </w:r>
    </w:p>
    <w:p w14:paraId="6D26AEDA">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年政府采购支出表的说明</w:t>
      </w:r>
    </w:p>
    <w:p w14:paraId="64A99A97">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年政府购买服务支出表的说明</w:t>
      </w:r>
    </w:p>
    <w:p w14:paraId="3E3038BC">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12B99AB9">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297AC791">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5D8BE14">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烈山区机关事务管理中心2025</w:t>
      </w:r>
      <w:r>
        <w:rPr>
          <w:rFonts w:hint="eastAsia" w:ascii="TimesNewRoman" w:hAnsi="TimesNewRoman" w:eastAsia="仿宋_GB2312" w:cs="TimesNewRoman"/>
          <w:bCs/>
          <w:sz w:val="32"/>
          <w:szCs w:val="32"/>
        </w:rPr>
        <w:t>年部门预算纳入绩效考评项目表</w:t>
      </w:r>
    </w:p>
    <w:p w14:paraId="629C3E9E">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烈山区机关事务管理中心2025</w:t>
      </w:r>
      <w:r>
        <w:rPr>
          <w:rFonts w:hint="eastAsia" w:ascii="TimesNewRoman" w:hAnsi="TimesNewRoman" w:eastAsia="仿宋_GB2312" w:cs="TimesNewRoman"/>
          <w:bCs/>
          <w:sz w:val="32"/>
          <w:szCs w:val="32"/>
        </w:rPr>
        <w:t>年部门预算专项资金管理清单（专栏公开）</w:t>
      </w:r>
    </w:p>
    <w:p w14:paraId="04B05CD0">
      <w:pPr>
        <w:pStyle w:val="5"/>
        <w:adjustRightInd w:val="0"/>
        <w:snapToGrid w:val="0"/>
        <w:spacing w:line="400" w:lineRule="exact"/>
        <w:ind w:firstLine="800" w:firstLineChars="250"/>
        <w:rPr>
          <w:rFonts w:ascii="TimesNewRoman" w:hAnsi="TimesNewRoman" w:eastAsia="仿宋_GB2312" w:cs="TimesNewRoman"/>
          <w:bCs/>
          <w:sz w:val="32"/>
          <w:szCs w:val="32"/>
        </w:rPr>
      </w:pPr>
    </w:p>
    <w:p w14:paraId="3E8AC5A4">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单位概况</w:t>
      </w:r>
    </w:p>
    <w:p w14:paraId="79BA29B4"/>
    <w:p w14:paraId="36A644E9">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27C99A0F">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val="en-US" w:eastAsia="zh-CN"/>
        </w:rPr>
        <w:t>（一）负责区机关事务的管理、保障、服务工作；拟订区机关事务工作的相关政策、规划和规章制度并组织实施。</w:t>
      </w:r>
    </w:p>
    <w:p w14:paraId="7F60AC1F">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（二）组织拟订全区机关事务相关规定并监督实施。</w:t>
      </w:r>
    </w:p>
    <w:p w14:paraId="676F84B0">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（三）负责区党政机关国内公务接待管理工作。</w:t>
      </w:r>
    </w:p>
    <w:p w14:paraId="334B172A">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（四）负责区直机关办公用房管理工作；负责区直机关办公用房的调配使用和修缮管理工作。</w:t>
      </w:r>
    </w:p>
    <w:p w14:paraId="461BAA22">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（五）负责区直机关节约能源管理工作；积极推进全区公共机构节能工作；会同有关部门制定相关规划、规章制度并组织实施；组织开展能耗统计、监测和评价考核工作。</w:t>
      </w:r>
    </w:p>
    <w:p w14:paraId="592FA8DE">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（六）负责区政府大楼和招商大楼等的后勤服务保障以及安全保卫和综合治理工作。</w:t>
      </w:r>
    </w:p>
    <w:p w14:paraId="0A2C8275">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（七）负责区委、区政府和区直单位有关全区性会议的服务保障工作。</w:t>
      </w:r>
    </w:p>
    <w:p w14:paraId="4289565C">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（八）负责区机关食堂的建设和管理工作。</w:t>
      </w:r>
    </w:p>
    <w:p w14:paraId="6167843B">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（九）负责区委、区政府公务用车配备计划、更新等管理工作。</w:t>
      </w:r>
    </w:p>
    <w:p w14:paraId="096A8B3C">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（十）承办区委、区政府交办的其他事项。</w:t>
      </w:r>
    </w:p>
    <w:p w14:paraId="02128743">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二、单位预算构成</w:t>
      </w:r>
    </w:p>
    <w:p w14:paraId="0C7BA3EE">
      <w:pPr>
        <w:pStyle w:val="5"/>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从预算单位构成看，淮北市</w:t>
      </w:r>
      <w:r>
        <w:rPr>
          <w:rFonts w:hint="eastAsia" w:ascii="TimesNewRoman" w:hAnsi="TimesNewRoman" w:eastAsia="仿宋_GB2312" w:cs="TimesNewRoman"/>
          <w:sz w:val="32"/>
          <w:szCs w:val="32"/>
          <w:lang w:eastAsia="zh-CN"/>
        </w:rPr>
        <w:t>烈山区机关事务管理中心</w:t>
      </w:r>
      <w:r>
        <w:rPr>
          <w:rFonts w:hint="eastAsia"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5</w:t>
      </w:r>
      <w:r>
        <w:rPr>
          <w:rFonts w:hint="eastAsia" w:ascii="TimesNewRoman" w:hAnsi="TimesNewRoman" w:eastAsia="仿宋_GB2312" w:cs="TimesNewRoman"/>
          <w:sz w:val="32"/>
          <w:szCs w:val="32"/>
        </w:rPr>
        <w:t>年度部门预算仅包括淮北市</w:t>
      </w:r>
      <w:r>
        <w:rPr>
          <w:rFonts w:hint="eastAsia" w:ascii="TimesNewRoman" w:hAnsi="TimesNewRoman" w:eastAsia="仿宋_GB2312" w:cs="TimesNewRoman"/>
          <w:sz w:val="32"/>
          <w:szCs w:val="32"/>
          <w:lang w:eastAsia="zh-CN"/>
        </w:rPr>
        <w:t>烈山区机关事务管理中心</w:t>
      </w:r>
      <w:r>
        <w:rPr>
          <w:rFonts w:hint="eastAsia" w:ascii="TimesNewRoman" w:hAnsi="TimesNewRoman" w:eastAsia="仿宋_GB2312" w:cs="TimesNewRoman"/>
          <w:sz w:val="32"/>
          <w:szCs w:val="32"/>
        </w:rPr>
        <w:t>本级预算，无其他下属单位预算。</w:t>
      </w:r>
    </w:p>
    <w:p w14:paraId="1C96448E">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年度主要工作任务</w:t>
      </w:r>
    </w:p>
    <w:p w14:paraId="7E2EECB4">
      <w:pPr>
        <w:ind w:firstLine="640" w:firstLineChars="200"/>
        <w:rPr>
          <w:rFonts w:hint="eastAsia" w:ascii="TimesNewRoman" w:hAnsi="TimesNewRoman" w:eastAsia="仿宋_GB2312" w:cs="TimesNewRoman"/>
          <w:bCs/>
          <w:kern w:val="0"/>
          <w:sz w:val="32"/>
          <w:szCs w:val="32"/>
          <w:lang w:val="en-US" w:eastAsia="zh-CN" w:bidi="ar-SA"/>
        </w:rPr>
      </w:pPr>
      <w:r>
        <w:rPr>
          <w:rFonts w:hint="default" w:ascii="TimesNewRoman" w:hAnsi="TimesNewRoman" w:eastAsia="仿宋_GB2312" w:cs="TimesNewRoman"/>
          <w:bCs/>
          <w:kern w:val="0"/>
          <w:sz w:val="32"/>
          <w:szCs w:val="32"/>
          <w:lang w:val="en-US" w:eastAsia="zh-CN" w:bidi="ar-SA"/>
        </w:rPr>
        <w:t>（一）全力以赴，做好公车平台日常运行管理工作。</w:t>
      </w:r>
    </w:p>
    <w:p w14:paraId="7376CF23">
      <w:pPr>
        <w:ind w:firstLine="640" w:firstLineChars="200"/>
        <w:rPr>
          <w:rFonts w:hint="eastAsia" w:ascii="TimesNewRoman" w:hAnsi="TimesNewRoman" w:eastAsia="仿宋_GB2312" w:cs="TimesNewRoman"/>
          <w:bCs/>
          <w:kern w:val="0"/>
          <w:sz w:val="32"/>
          <w:szCs w:val="32"/>
          <w:lang w:val="en-US" w:eastAsia="zh-CN" w:bidi="ar-SA"/>
        </w:rPr>
      </w:pPr>
      <w:r>
        <w:rPr>
          <w:rFonts w:hint="default" w:ascii="TimesNewRoman" w:hAnsi="TimesNewRoman" w:eastAsia="仿宋_GB2312" w:cs="TimesNewRoman"/>
          <w:bCs/>
          <w:kern w:val="0"/>
          <w:sz w:val="32"/>
          <w:szCs w:val="32"/>
          <w:lang w:val="en-US" w:eastAsia="zh-CN" w:bidi="ar-SA"/>
        </w:rPr>
        <w:t>（二）狠抓落实，大力推进公共机构节能减排工作。</w:t>
      </w:r>
    </w:p>
    <w:p w14:paraId="1ECA53F7">
      <w:pPr>
        <w:ind w:firstLine="640" w:firstLineChars="200"/>
        <w:rPr>
          <w:rFonts w:hint="eastAsia" w:ascii="TimesNewRoman" w:hAnsi="TimesNewRoman" w:eastAsia="仿宋_GB2312" w:cs="TimesNewRoman"/>
          <w:bCs/>
          <w:kern w:val="0"/>
          <w:sz w:val="32"/>
          <w:szCs w:val="32"/>
          <w:lang w:val="en-US" w:eastAsia="zh-CN" w:bidi="ar-SA"/>
        </w:rPr>
      </w:pPr>
      <w:r>
        <w:rPr>
          <w:rFonts w:hint="default" w:ascii="TimesNewRoman" w:hAnsi="TimesNewRoman" w:eastAsia="仿宋_GB2312" w:cs="TimesNewRoman"/>
          <w:bCs/>
          <w:kern w:val="0"/>
          <w:sz w:val="32"/>
          <w:szCs w:val="32"/>
          <w:lang w:val="en-US" w:eastAsia="zh-CN" w:bidi="ar-SA"/>
        </w:rPr>
        <w:t>（三）科学谋划，持续推进党政机关办公用房常态化管理。</w:t>
      </w:r>
    </w:p>
    <w:p w14:paraId="38D6FC6F">
      <w:pPr>
        <w:ind w:firstLine="640" w:firstLineChars="200"/>
        <w:rPr>
          <w:rFonts w:hint="eastAsia" w:ascii="TimesNewRoman" w:hAnsi="TimesNewRoman" w:eastAsia="仿宋_GB2312" w:cs="TimesNewRoman"/>
          <w:bCs/>
          <w:kern w:val="0"/>
          <w:sz w:val="32"/>
          <w:szCs w:val="32"/>
          <w:lang w:val="en-US" w:eastAsia="zh-CN" w:bidi="ar-SA"/>
        </w:rPr>
      </w:pPr>
      <w:r>
        <w:rPr>
          <w:rFonts w:hint="default" w:ascii="TimesNewRoman" w:hAnsi="TimesNewRoman" w:eastAsia="仿宋_GB2312" w:cs="TimesNewRoman"/>
          <w:bCs/>
          <w:kern w:val="0"/>
          <w:sz w:val="32"/>
          <w:szCs w:val="32"/>
          <w:lang w:val="en-US" w:eastAsia="zh-CN" w:bidi="ar-SA"/>
        </w:rPr>
        <w:t>（四）扎实推进，做好政府办公大楼日常管理工作。</w:t>
      </w:r>
    </w:p>
    <w:p w14:paraId="36FD9D63">
      <w:pPr>
        <w:ind w:firstLine="640" w:firstLineChars="200"/>
        <w:rPr>
          <w:rFonts w:hint="eastAsia" w:ascii="TimesNewRoman" w:hAnsi="TimesNewRoman" w:eastAsia="仿宋_GB2312" w:cs="TimesNewRoman"/>
          <w:bCs/>
          <w:kern w:val="0"/>
          <w:sz w:val="32"/>
          <w:szCs w:val="32"/>
          <w:lang w:val="en-US" w:eastAsia="zh-CN" w:bidi="ar-SA"/>
        </w:rPr>
      </w:pPr>
      <w:r>
        <w:rPr>
          <w:rFonts w:hint="default" w:ascii="TimesNewRoman" w:hAnsi="TimesNewRoman" w:eastAsia="仿宋_GB2312" w:cs="TimesNewRoman"/>
          <w:bCs/>
          <w:kern w:val="0"/>
          <w:sz w:val="32"/>
          <w:szCs w:val="32"/>
          <w:lang w:val="en-US" w:eastAsia="zh-CN" w:bidi="ar-SA"/>
        </w:rPr>
        <w:t>（五）精心谋划，圆满完成区委区政府各项接待任务。</w:t>
      </w:r>
    </w:p>
    <w:p w14:paraId="091C9B2E">
      <w:pPr>
        <w:ind w:firstLine="640" w:firstLineChars="200"/>
        <w:rPr>
          <w:rFonts w:hint="eastAsia" w:ascii="TimesNewRoman" w:hAnsi="TimesNewRoman" w:eastAsia="仿宋_GB2312" w:cs="TimesNewRoman"/>
          <w:bCs/>
          <w:kern w:val="0"/>
          <w:sz w:val="32"/>
          <w:szCs w:val="32"/>
          <w:lang w:val="en-US" w:eastAsia="zh-CN" w:bidi="ar-SA"/>
        </w:rPr>
      </w:pPr>
      <w:r>
        <w:rPr>
          <w:rFonts w:hint="default" w:ascii="TimesNewRoman" w:hAnsi="TimesNewRoman" w:eastAsia="仿宋_GB2312" w:cs="TimesNewRoman"/>
          <w:bCs/>
          <w:kern w:val="0"/>
          <w:sz w:val="32"/>
          <w:szCs w:val="32"/>
          <w:lang w:val="en-US" w:eastAsia="zh-CN" w:bidi="ar-SA"/>
        </w:rPr>
        <w:t>（六）强化管理，着力提高机关食堂服务质量。</w:t>
      </w:r>
    </w:p>
    <w:p w14:paraId="27C6EFAF">
      <w:pPr>
        <w:ind w:firstLine="640" w:firstLineChars="200"/>
        <w:rPr>
          <w:rFonts w:hint="eastAsia" w:ascii="TimesNewRoman" w:hAnsi="TimesNewRoman" w:eastAsia="仿宋_GB2312" w:cs="TimesNewRoman"/>
          <w:bCs/>
          <w:kern w:val="0"/>
          <w:sz w:val="32"/>
          <w:szCs w:val="32"/>
          <w:lang w:val="en-US" w:eastAsia="zh-CN" w:bidi="ar-SA"/>
        </w:rPr>
      </w:pPr>
      <w:r>
        <w:rPr>
          <w:rFonts w:hint="default" w:ascii="TimesNewRoman" w:hAnsi="TimesNewRoman" w:eastAsia="仿宋_GB2312" w:cs="TimesNewRoman"/>
          <w:bCs/>
          <w:kern w:val="0"/>
          <w:sz w:val="32"/>
          <w:szCs w:val="32"/>
          <w:lang w:val="en-US" w:eastAsia="zh-CN" w:bidi="ar-SA"/>
        </w:rPr>
        <w:t>（七）顺利完成区委区政府及上级部门交办的各项工作。</w:t>
      </w:r>
    </w:p>
    <w:p w14:paraId="767148B7">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TimesNewRoman" w:hAnsi="TimesNewRoman" w:eastAsia="黑体" w:cs="TimesNewRoman"/>
          <w:bCs/>
          <w:sz w:val="36"/>
          <w:szCs w:val="36"/>
          <w:lang w:eastAsia="zh-CN"/>
        </w:rPr>
        <w:t>2025</w:t>
      </w:r>
      <w:r>
        <w:rPr>
          <w:rFonts w:hint="eastAsia" w:ascii="TimesNewRoman" w:hAnsi="TimesNewRoman" w:eastAsia="黑体" w:cs="TimesNewRoman"/>
          <w:bCs/>
          <w:sz w:val="36"/>
          <w:szCs w:val="36"/>
        </w:rPr>
        <w:t>年单位预算表</w:t>
      </w:r>
    </w:p>
    <w:p w14:paraId="3663AAA3">
      <w:pPr>
        <w:pStyle w:val="5"/>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1783C599">
      <w:r>
        <w:t xml:space="preserve">                                        </w:t>
      </w:r>
    </w:p>
    <w:p w14:paraId="38E1408A">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TimesNewRoman" w:hAnsi="TimesNewRoman" w:eastAsia="黑体" w:cs="TimesNewRoman"/>
          <w:bCs/>
          <w:sz w:val="36"/>
          <w:szCs w:val="36"/>
          <w:lang w:eastAsia="zh-CN"/>
        </w:rPr>
        <w:t>2025</w:t>
      </w:r>
      <w:r>
        <w:rPr>
          <w:rFonts w:hint="eastAsia" w:ascii="TimesNewRoman" w:hAnsi="TimesNewRoman" w:eastAsia="黑体" w:cs="TimesNewRoman"/>
          <w:bCs/>
          <w:sz w:val="36"/>
          <w:szCs w:val="36"/>
        </w:rPr>
        <w:t>年单位预算情况说明</w:t>
      </w:r>
    </w:p>
    <w:p w14:paraId="0314178D"/>
    <w:p w14:paraId="39E94259">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年收支总表的说明</w:t>
      </w:r>
    </w:p>
    <w:p w14:paraId="3A02558B">
      <w:pPr>
        <w:pStyle w:val="5"/>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烈山区机关事务管理中心</w:t>
      </w:r>
      <w:r>
        <w:rPr>
          <w:rFonts w:hint="eastAsia" w:ascii="TimesNewRoman" w:hAnsi="TimesNewRoman" w:eastAsia="仿宋_GB2312" w:cs="TimesNewRoman"/>
          <w:sz w:val="32"/>
          <w:szCs w:val="32"/>
        </w:rPr>
        <w:t>所有收入和支出均纳入单位预算管理。淮北市</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烈山区机关事务管理中心</w:t>
      </w:r>
      <w:r>
        <w:rPr>
          <w:rFonts w:hint="eastAsia" w:ascii="TimesNewRoman" w:hAnsi="TimesNewRoman" w:eastAsia="仿宋_GB2312" w:cs="TimesNewRoman"/>
          <w:sz w:val="32"/>
          <w:szCs w:val="32"/>
          <w:lang w:eastAsia="zh-CN"/>
        </w:rPr>
        <w:t>2025</w:t>
      </w:r>
      <w:r>
        <w:rPr>
          <w:rFonts w:hint="eastAsia" w:ascii="TimesNewRoman" w:hAnsi="TimesNewRoman" w:eastAsia="仿宋_GB2312" w:cs="TimesNewRoman"/>
          <w:sz w:val="32"/>
          <w:szCs w:val="32"/>
        </w:rPr>
        <w:t>年收支总预算</w:t>
      </w:r>
      <w:r>
        <w:rPr>
          <w:rFonts w:hint="eastAsia" w:ascii="TimesNewRoman" w:hAnsi="TimesNewRoman" w:eastAsia="仿宋_GB2312" w:cs="TimesNewRoman"/>
          <w:sz w:val="32"/>
          <w:szCs w:val="32"/>
          <w:lang w:val="en-US" w:eastAsia="zh-CN"/>
        </w:rPr>
        <w:t>2772.79</w:t>
      </w:r>
      <w:r>
        <w:rPr>
          <w:rFonts w:hint="eastAsia" w:ascii="TimesNewRoman" w:hAnsi="TimesNewRoman" w:eastAsia="仿宋_GB2312" w:cs="TimesNewRoman"/>
          <w:sz w:val="32"/>
          <w:szCs w:val="32"/>
        </w:rPr>
        <w:t>万元，收入</w:t>
      </w:r>
      <w:r>
        <w:rPr>
          <w:rFonts w:hint="eastAsia" w:ascii="TimesNewRoman" w:hAnsi="TimesNewRoman" w:eastAsia="仿宋_GB2312" w:cs="TimesNewRoman"/>
          <w:sz w:val="32"/>
          <w:szCs w:val="32"/>
          <w:lang w:eastAsia="zh-CN"/>
        </w:rPr>
        <w:t>全部是</w:t>
      </w:r>
      <w:r>
        <w:rPr>
          <w:rFonts w:hint="eastAsia" w:ascii="TimesNewRoman" w:hAnsi="TimesNewRoman" w:eastAsia="仿宋_GB2312" w:cs="TimesNewRoman"/>
          <w:sz w:val="32"/>
          <w:szCs w:val="32"/>
        </w:rPr>
        <w:t>一般公共预算拨款收入</w:t>
      </w:r>
      <w:r>
        <w:rPr>
          <w:rFonts w:hint="eastAsia" w:ascii="TimesNewRoman" w:hAnsi="TimesNewRoman" w:eastAsia="仿宋_GB2312" w:cs="TimesNewRoman"/>
          <w:sz w:val="32"/>
          <w:szCs w:val="32"/>
          <w:lang w:val="en-US" w:eastAsia="zh-CN"/>
        </w:rPr>
        <w:t>2772.79万元</w:t>
      </w:r>
      <w:r>
        <w:rPr>
          <w:rFonts w:hint="eastAsia" w:ascii="TimesNewRoman" w:hAnsi="TimesNewRoman" w:eastAsia="仿宋_GB2312" w:cs="TimesNewRoman"/>
          <w:sz w:val="32"/>
          <w:szCs w:val="32"/>
        </w:rPr>
        <w:t>，支出包括：一般公共服务支出、社会保障和就业支出、卫生健康支出、住房保障支出、</w:t>
      </w:r>
      <w:r>
        <w:rPr>
          <w:rFonts w:hint="eastAsia" w:ascii="TimesNewRoman" w:hAnsi="TimesNewRoman" w:eastAsia="仿宋_GB2312" w:cs="TimesNewRoman"/>
          <w:kern w:val="0"/>
          <w:sz w:val="32"/>
          <w:szCs w:val="32"/>
          <w:lang w:val="en-US" w:eastAsia="zh-CN"/>
        </w:rPr>
        <w:t>城乡社区支出</w:t>
      </w:r>
      <w:r>
        <w:rPr>
          <w:rFonts w:hint="eastAsia" w:ascii="TimesNewRoman" w:hAnsi="TimesNewRoman" w:eastAsia="仿宋_GB2312" w:cs="TimesNewRoman"/>
          <w:sz w:val="32"/>
          <w:szCs w:val="32"/>
        </w:rPr>
        <w:t>。</w:t>
      </w:r>
    </w:p>
    <w:p w14:paraId="72F61F20">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年收入总表的说明</w:t>
      </w:r>
    </w:p>
    <w:p w14:paraId="182DB47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烈山区机关事务管理中心</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年收入预算</w:t>
      </w:r>
      <w:r>
        <w:rPr>
          <w:rFonts w:hint="eastAsia" w:ascii="TimesNewRoman" w:hAnsi="TimesNewRoman" w:eastAsia="仿宋_GB2312" w:cs="TimesNewRoman"/>
          <w:kern w:val="0"/>
          <w:sz w:val="32"/>
          <w:szCs w:val="32"/>
          <w:lang w:val="en-US" w:eastAsia="zh-CN"/>
        </w:rPr>
        <w:t>2772.79</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2772.79</w:t>
      </w:r>
      <w:r>
        <w:rPr>
          <w:rFonts w:hint="eastAsia" w:ascii="TimesNewRoman" w:hAnsi="TimesNewRoman" w:eastAsia="仿宋_GB2312" w:cs="TimesNewRoman"/>
          <w:kern w:val="0"/>
          <w:sz w:val="32"/>
          <w:szCs w:val="32"/>
        </w:rPr>
        <w:t>万元。</w:t>
      </w:r>
    </w:p>
    <w:p w14:paraId="7F228C0B">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b/>
          <w:kern w:val="0"/>
          <w:sz w:val="32"/>
          <w:szCs w:val="32"/>
          <w:lang w:val="en-US" w:eastAsia="zh-CN"/>
        </w:rPr>
        <w:t>2772.79</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kern w:val="0"/>
          <w:sz w:val="32"/>
          <w:szCs w:val="32"/>
          <w:lang w:val="en-US" w:eastAsia="zh-CN"/>
        </w:rPr>
        <w:t>2772.79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196.07</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6.6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公务用车购置预算经费减少，本年度无公务用车购置计划</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本单位无政府性基金预算拨款收入</w:t>
      </w:r>
      <w:r>
        <w:rPr>
          <w:rFonts w:hint="eastAsia" w:ascii="TimesNewRoman" w:hAnsi="TimesNewRoman" w:eastAsia="仿宋_GB2312" w:cs="TimesNewRoman"/>
          <w:kern w:val="0"/>
          <w:sz w:val="32"/>
          <w:szCs w:val="32"/>
        </w:rPr>
        <w:t>；财政专户管理资金收入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本单位无财政专户管理资金收入</w:t>
      </w:r>
      <w:r>
        <w:rPr>
          <w:rFonts w:hint="eastAsia" w:ascii="TimesNewRoman" w:hAnsi="TimesNewRoman" w:eastAsia="仿宋_GB2312" w:cs="TimesNewRoman"/>
          <w:kern w:val="0"/>
          <w:sz w:val="32"/>
          <w:szCs w:val="32"/>
        </w:rPr>
        <w:t>。</w:t>
      </w:r>
    </w:p>
    <w:p w14:paraId="400C8E0E">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年支出总表的说明</w:t>
      </w:r>
    </w:p>
    <w:p w14:paraId="0ABEAB0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烈山区机关事务管理中心</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年支出预算</w:t>
      </w:r>
      <w:r>
        <w:rPr>
          <w:rFonts w:hint="eastAsia" w:ascii="TimesNewRoman" w:hAnsi="TimesNewRoman" w:eastAsia="仿宋_GB2312" w:cs="TimesNewRoman"/>
          <w:kern w:val="0"/>
          <w:sz w:val="32"/>
          <w:szCs w:val="32"/>
          <w:lang w:val="en-US" w:eastAsia="zh-CN"/>
        </w:rPr>
        <w:t>2772.79</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196.07</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6.6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公务用车购置预算经费减少，本年度无公务用车购置计划</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424.47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15.31</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2348.32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84.69</w:t>
      </w:r>
      <w:r>
        <w:rPr>
          <w:rFonts w:hint="eastAsia" w:ascii="TimesNewRoman" w:hAnsi="TimesNewRoman" w:eastAsia="仿宋_GB2312" w:cs="TimesNewRoman"/>
          <w:kern w:val="0"/>
          <w:sz w:val="32"/>
          <w:szCs w:val="32"/>
        </w:rPr>
        <w:t>%，主要用于</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机关事务管理、公车平台和机关食堂运行</w:t>
      </w:r>
      <w:r>
        <w:rPr>
          <w:rFonts w:hint="eastAsia" w:ascii="TimesNewRoman" w:hAnsi="TimesNewRoman" w:eastAsia="仿宋_GB2312" w:cs="TimesNewRoman"/>
          <w:kern w:val="0"/>
          <w:sz w:val="32"/>
          <w:szCs w:val="32"/>
        </w:rPr>
        <w:t>。</w:t>
      </w:r>
    </w:p>
    <w:p w14:paraId="33BD48E5">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年财政拨款收支总表的说明</w:t>
      </w:r>
    </w:p>
    <w:p w14:paraId="6BDFFD46">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淮北市</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烈山区机关事务管理中心</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年财政拨款收支预算</w:t>
      </w:r>
      <w:r>
        <w:rPr>
          <w:rFonts w:hint="eastAsia" w:ascii="TimesNewRoman" w:hAnsi="TimesNewRoman" w:eastAsia="仿宋_GB2312" w:cs="TimesNewRoman"/>
          <w:kern w:val="0"/>
          <w:sz w:val="32"/>
          <w:szCs w:val="32"/>
          <w:lang w:val="en-US" w:eastAsia="zh-CN"/>
        </w:rPr>
        <w:t>2772.79</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2772.79</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2772.79</w:t>
      </w:r>
      <w:r>
        <w:rPr>
          <w:rFonts w:hint="eastAsia" w:ascii="TimesNewRoman" w:hAnsi="TimesNewRoman" w:eastAsia="仿宋_GB2312" w:cs="TimesNewRoman"/>
          <w:kern w:val="0"/>
          <w:sz w:val="32"/>
          <w:szCs w:val="32"/>
        </w:rPr>
        <w:t>万元。支出按功能分类分为：一般公共服务支出</w:t>
      </w:r>
      <w:r>
        <w:rPr>
          <w:rFonts w:hint="eastAsia" w:ascii="TimesNewRoman" w:hAnsi="TimesNewRoman" w:eastAsia="仿宋_GB2312" w:cs="TimesNewRoman"/>
          <w:kern w:val="0"/>
          <w:sz w:val="32"/>
          <w:szCs w:val="32"/>
          <w:lang w:val="en-US" w:eastAsia="zh-CN"/>
        </w:rPr>
        <w:t>301.32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10.87</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78.91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2.84</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11.31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0.41</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32.93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1.19</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城乡社区支出2348.32</w:t>
      </w:r>
      <w:r>
        <w:rPr>
          <w:rFonts w:hint="default" w:ascii="TimesNewRoman" w:hAnsi="TimesNewRoman" w:eastAsia="仿宋_GB2312" w:cs="TimesNewRoman"/>
          <w:kern w:val="0"/>
          <w:sz w:val="32"/>
          <w:szCs w:val="32"/>
          <w:lang w:val="en-US" w:eastAsia="zh-CN"/>
        </w:rPr>
        <w:t>万元</w:t>
      </w:r>
      <w:r>
        <w:rPr>
          <w:rFonts w:hint="eastAsia" w:ascii="TimesNewRoman" w:hAnsi="TimesNewRoman" w:eastAsia="仿宋_GB2312" w:cs="TimesNewRoman"/>
          <w:kern w:val="0"/>
          <w:sz w:val="32"/>
          <w:szCs w:val="32"/>
          <w:lang w:val="en-US" w:eastAsia="zh-CN"/>
        </w:rPr>
        <w:t>，占84.69</w:t>
      </w:r>
      <w:r>
        <w:rPr>
          <w:rFonts w:hint="default" w:ascii="TimesNewRoman" w:hAnsi="TimesNewRoman" w:eastAsia="仿宋_GB2312" w:cs="TimesNewRoman"/>
          <w:kern w:val="0"/>
          <w:sz w:val="32"/>
          <w:szCs w:val="32"/>
          <w:lang w:val="en-US" w:eastAsia="zh-CN"/>
        </w:rPr>
        <w:t>%</w:t>
      </w:r>
      <w:r>
        <w:rPr>
          <w:rFonts w:hint="eastAsia" w:ascii="TimesNewRoman" w:hAnsi="TimesNewRoman" w:eastAsia="仿宋_GB2312" w:cs="TimesNewRoman"/>
          <w:kern w:val="0"/>
          <w:sz w:val="32"/>
          <w:szCs w:val="32"/>
        </w:rPr>
        <w:t>。</w:t>
      </w:r>
    </w:p>
    <w:p w14:paraId="344DFE82">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年一般公共预算支出表的说明</w:t>
      </w:r>
    </w:p>
    <w:p w14:paraId="6B3BFE8B">
      <w:pPr>
        <w:pStyle w:val="5"/>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03A14C9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烈山区机关事务管理中心</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年一般公共预算支出</w:t>
      </w:r>
      <w:r>
        <w:rPr>
          <w:rFonts w:hint="eastAsia" w:ascii="TimesNewRoman" w:hAnsi="TimesNewRoman" w:eastAsia="仿宋_GB2312" w:cs="TimesNewRoman"/>
          <w:kern w:val="0"/>
          <w:sz w:val="32"/>
          <w:szCs w:val="32"/>
          <w:lang w:val="en-US" w:eastAsia="zh-CN"/>
        </w:rPr>
        <w:t>3753.01</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784.15</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26.41</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kern w:val="0"/>
          <w:sz w:val="32"/>
          <w:szCs w:val="32"/>
          <w:lang w:val="en-US" w:eastAsia="zh-CN"/>
        </w:rPr>
        <w:t>:</w:t>
      </w:r>
      <w:r>
        <w:rPr>
          <w:rFonts w:hint="eastAsia" w:ascii="TimesNewRoman" w:hAnsi="TimesNewRoman" w:eastAsia="仿宋_GB2312" w:cs="TimesNewRoman"/>
          <w:kern w:val="0"/>
          <w:sz w:val="32"/>
          <w:szCs w:val="32"/>
          <w:lang w:eastAsia="zh-CN"/>
        </w:rPr>
        <w:t>上年度款项尚未结清，额度结转至本年度支付</w:t>
      </w:r>
      <w:r>
        <w:rPr>
          <w:rFonts w:hint="eastAsia" w:ascii="TimesNewRoman" w:hAnsi="TimesNewRoman" w:eastAsia="仿宋_GB2312" w:cs="TimesNewRoman"/>
          <w:kern w:val="0"/>
          <w:sz w:val="32"/>
          <w:szCs w:val="32"/>
        </w:rPr>
        <w:t>。</w:t>
      </w:r>
    </w:p>
    <w:p w14:paraId="7A3E6C1A">
      <w:pPr>
        <w:pStyle w:val="5"/>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37667A8F">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一般公共服务支出</w:t>
      </w:r>
      <w:r>
        <w:rPr>
          <w:rFonts w:hint="eastAsia" w:ascii="TimesNewRoman" w:hAnsi="TimesNewRoman" w:eastAsia="仿宋_GB2312" w:cs="TimesNewRoman"/>
          <w:kern w:val="0"/>
          <w:sz w:val="32"/>
          <w:szCs w:val="32"/>
          <w:lang w:val="en-US" w:eastAsia="zh-CN"/>
        </w:rPr>
        <w:t>306.62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8.17</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87.6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2.33</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11.31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0.3</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32.93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0.88</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城乡社区支出3314.55</w:t>
      </w:r>
      <w:r>
        <w:rPr>
          <w:rFonts w:hint="default" w:ascii="TimesNewRoman" w:hAnsi="TimesNewRoman" w:eastAsia="仿宋_GB2312" w:cs="TimesNewRoman"/>
          <w:kern w:val="0"/>
          <w:sz w:val="32"/>
          <w:szCs w:val="32"/>
          <w:lang w:val="en-US" w:eastAsia="zh-CN"/>
        </w:rPr>
        <w:t>万元</w:t>
      </w:r>
      <w:r>
        <w:rPr>
          <w:rFonts w:hint="eastAsia" w:ascii="TimesNewRoman" w:hAnsi="TimesNewRoman" w:eastAsia="仿宋_GB2312" w:cs="TimesNewRoman"/>
          <w:kern w:val="0"/>
          <w:sz w:val="32"/>
          <w:szCs w:val="32"/>
          <w:lang w:val="en-US" w:eastAsia="zh-CN"/>
        </w:rPr>
        <w:t>，占88.32</w:t>
      </w:r>
      <w:r>
        <w:rPr>
          <w:rFonts w:hint="default" w:ascii="TimesNewRoman" w:hAnsi="TimesNewRoman" w:eastAsia="仿宋_GB2312" w:cs="TimesNewRoman"/>
          <w:kern w:val="0"/>
          <w:sz w:val="32"/>
          <w:szCs w:val="32"/>
          <w:lang w:val="en-US" w:eastAsia="zh-CN"/>
        </w:rPr>
        <w:t>%</w:t>
      </w:r>
      <w:r>
        <w:rPr>
          <w:rFonts w:hint="eastAsia" w:ascii="TimesNewRoman" w:hAnsi="TimesNewRoman" w:eastAsia="仿宋_GB2312" w:cs="TimesNewRoman"/>
          <w:kern w:val="0"/>
          <w:sz w:val="32"/>
          <w:szCs w:val="32"/>
        </w:rPr>
        <w:t>。</w:t>
      </w:r>
    </w:p>
    <w:p w14:paraId="7A326A90">
      <w:pPr>
        <w:pStyle w:val="5"/>
        <w:adjustRightInd w:val="0"/>
        <w:snapToGrid w:val="0"/>
        <w:spacing w:line="560" w:lineRule="exact"/>
        <w:ind w:firstLine="643" w:firstLineChars="200"/>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043930E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1、一般公共服务</w:t>
      </w:r>
      <w:r>
        <w:rPr>
          <w:rFonts w:hint="eastAsia" w:ascii="TimesNewRoman" w:hAnsi="TimesNewRoman" w:eastAsia="仿宋_GB2312" w:cs="TimesNewRoman"/>
          <w:kern w:val="0"/>
          <w:sz w:val="32"/>
          <w:szCs w:val="32"/>
          <w:lang w:eastAsia="zh-CN"/>
        </w:rPr>
        <w:t>支出</w:t>
      </w:r>
      <w:r>
        <w:rPr>
          <w:rFonts w:hint="eastAsia" w:ascii="TimesNewRoman" w:hAnsi="TimesNewRoman" w:eastAsia="仿宋_GB2312" w:cs="TimesNewRoman"/>
          <w:kern w:val="0"/>
          <w:sz w:val="32"/>
          <w:szCs w:val="32"/>
        </w:rPr>
        <w:t>（类）政府办公厅及相关机构事务（款）</w:t>
      </w:r>
      <w:r>
        <w:rPr>
          <w:rFonts w:hint="eastAsia" w:ascii="TimesNewRoman" w:hAnsi="TimesNewRoman" w:eastAsia="仿宋_GB2312" w:cs="TimesNewRoman"/>
          <w:kern w:val="0"/>
          <w:sz w:val="32"/>
          <w:szCs w:val="32"/>
          <w:lang w:eastAsia="zh-CN"/>
        </w:rPr>
        <w:t>行政运行</w:t>
      </w:r>
      <w:r>
        <w:rPr>
          <w:rFonts w:hint="eastAsia" w:ascii="TimesNewRoman" w:hAnsi="TimesNewRoman" w:eastAsia="仿宋_GB2312" w:cs="TimesNewRoman"/>
          <w:kern w:val="0"/>
          <w:sz w:val="32"/>
          <w:szCs w:val="32"/>
        </w:rPr>
        <w:t>（项）。202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306.62</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153.91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100.79%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重新进行支出科目分类，</w:t>
      </w:r>
      <w:r>
        <w:rPr>
          <w:rFonts w:hint="eastAsia" w:ascii="TimesNewRoman" w:hAnsi="TimesNewRoman" w:eastAsia="仿宋_GB2312" w:cs="TimesNewRoman"/>
          <w:kern w:val="0"/>
          <w:sz w:val="32"/>
          <w:szCs w:val="32"/>
        </w:rPr>
        <w:t>一般行政管理事务</w:t>
      </w:r>
      <w:r>
        <w:rPr>
          <w:rFonts w:hint="eastAsia" w:ascii="TimesNewRoman" w:hAnsi="TimesNewRoman" w:eastAsia="仿宋_GB2312" w:cs="TimesNewRoman"/>
          <w:kern w:val="0"/>
          <w:sz w:val="32"/>
          <w:szCs w:val="32"/>
          <w:lang w:eastAsia="zh-CN"/>
        </w:rPr>
        <w:t>预算经费转至行政运行进行预算核算</w:t>
      </w:r>
      <w:r>
        <w:rPr>
          <w:rFonts w:hint="eastAsia" w:ascii="TimesNewRoman" w:hAnsi="TimesNewRoman" w:eastAsia="仿宋_GB2312" w:cs="TimesNewRoman"/>
          <w:kern w:val="0"/>
          <w:sz w:val="32"/>
          <w:szCs w:val="32"/>
        </w:rPr>
        <w:t>。</w:t>
      </w:r>
    </w:p>
    <w:p w14:paraId="7DA68E6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、社会保障和就业支出（类）</w:t>
      </w:r>
      <w:r>
        <w:rPr>
          <w:rFonts w:hint="eastAsia" w:ascii="TimesNewRoman" w:hAnsi="TimesNewRoman" w:eastAsia="仿宋_GB2312" w:cs="TimesNewRoman"/>
          <w:kern w:val="0"/>
          <w:sz w:val="32"/>
          <w:szCs w:val="32"/>
          <w:lang w:eastAsia="zh-CN"/>
        </w:rPr>
        <w:t>行政事业单位养老支出</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eastAsia="zh-CN"/>
        </w:rPr>
        <w:t>行政单位离退休</w:t>
      </w:r>
      <w:r>
        <w:rPr>
          <w:rFonts w:hint="eastAsia" w:ascii="TimesNewRoman" w:hAnsi="TimesNewRoman" w:eastAsia="仿宋_GB2312" w:cs="TimesNewRoman"/>
          <w:kern w:val="0"/>
          <w:sz w:val="32"/>
          <w:szCs w:val="32"/>
        </w:rPr>
        <w:t>（项）。202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4.77</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与</w:t>
      </w:r>
      <w:r>
        <w:rPr>
          <w:rFonts w:hint="eastAsia"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一致</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无新增退休人员</w:t>
      </w:r>
      <w:r>
        <w:rPr>
          <w:rFonts w:hint="eastAsia" w:ascii="TimesNewRoman" w:hAnsi="TimesNewRoman" w:eastAsia="仿宋_GB2312" w:cs="TimesNewRoman"/>
          <w:kern w:val="0"/>
          <w:sz w:val="32"/>
          <w:szCs w:val="32"/>
        </w:rPr>
        <w:t>。</w:t>
      </w:r>
    </w:p>
    <w:p w14:paraId="639562E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、社会保障和就业支出（类）行政事业单位养老支出（款）机关事业单位基本养老保险缴费支出（项）。202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17.1</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2.37</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16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人员增加</w:t>
      </w:r>
      <w:r>
        <w:rPr>
          <w:rFonts w:hint="eastAsia" w:ascii="TimesNewRoman" w:hAnsi="TimesNewRoman" w:eastAsia="仿宋_GB2312" w:cs="TimesNewRoman"/>
          <w:kern w:val="0"/>
          <w:sz w:val="32"/>
          <w:szCs w:val="32"/>
        </w:rPr>
        <w:t>。</w:t>
      </w:r>
    </w:p>
    <w:p w14:paraId="64A7235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、社会保障和就业支出（类）行政事业单位养老支出（款）机关事业单位职业年金缴费支出（项）。202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8.55</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1.18</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16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人员增加</w:t>
      </w:r>
      <w:r>
        <w:rPr>
          <w:rFonts w:hint="eastAsia" w:ascii="TimesNewRoman" w:hAnsi="TimesNewRoman" w:eastAsia="仿宋_GB2312" w:cs="TimesNewRoman"/>
          <w:kern w:val="0"/>
          <w:sz w:val="32"/>
          <w:szCs w:val="32"/>
        </w:rPr>
        <w:t>。</w:t>
      </w:r>
    </w:p>
    <w:p w14:paraId="4D64267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、社会保障和就业支出（类）其他社会保障和就业支出（款）其他社会保障和就业支出（项）。202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57.18</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12.48</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27.92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一方面</w:t>
      </w:r>
      <w:r>
        <w:rPr>
          <w:rFonts w:hint="eastAsia" w:ascii="TimesNewRoman" w:hAnsi="TimesNewRoman" w:eastAsia="仿宋_GB2312" w:cs="TimesNewRoman"/>
          <w:kern w:val="0"/>
          <w:sz w:val="32"/>
          <w:szCs w:val="32"/>
          <w:lang w:eastAsia="zh-CN"/>
        </w:rPr>
        <w:t>人员增加，另一方面补之前入职时未缴纳社保职工保险</w:t>
      </w:r>
      <w:r>
        <w:rPr>
          <w:rFonts w:hint="eastAsia" w:ascii="TimesNewRoman" w:hAnsi="TimesNewRoman" w:eastAsia="仿宋_GB2312" w:cs="TimesNewRoman"/>
          <w:kern w:val="0"/>
          <w:sz w:val="32"/>
          <w:szCs w:val="32"/>
        </w:rPr>
        <w:t>。</w:t>
      </w:r>
    </w:p>
    <w:p w14:paraId="4A89BB6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、卫生健康支出（类）行政事业单位医疗（款）行政单位医疗（项）。202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7.69</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0.04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0.01</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医疗缴纳比例调整</w:t>
      </w:r>
      <w:r>
        <w:rPr>
          <w:rFonts w:hint="eastAsia" w:ascii="TimesNewRoman" w:hAnsi="TimesNewRoman" w:eastAsia="仿宋_GB2312" w:cs="TimesNewRoman"/>
          <w:kern w:val="0"/>
          <w:sz w:val="32"/>
          <w:szCs w:val="32"/>
        </w:rPr>
        <w:t>。</w:t>
      </w:r>
    </w:p>
    <w:p w14:paraId="7BBDFA3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、卫生健康支出（类）行政事业单位医疗（款）公务员医疗补助（项）。202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3.62</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0.45</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14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人员增加</w:t>
      </w:r>
      <w:r>
        <w:rPr>
          <w:rFonts w:hint="eastAsia" w:ascii="TimesNewRoman" w:hAnsi="TimesNewRoman" w:eastAsia="仿宋_GB2312" w:cs="TimesNewRoman"/>
          <w:kern w:val="0"/>
          <w:sz w:val="32"/>
          <w:szCs w:val="32"/>
        </w:rPr>
        <w:t>。</w:t>
      </w:r>
    </w:p>
    <w:p w14:paraId="06EF4B2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、城乡社区支出（类）城乡社区公共设施（款）其他城乡社区公共设施支出（项）。202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3314.55</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721.61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27.83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上年度款项尚未结清，额度结转至本年度支付</w:t>
      </w:r>
      <w:r>
        <w:rPr>
          <w:rFonts w:hint="eastAsia" w:ascii="TimesNewRoman" w:hAnsi="TimesNewRoman" w:eastAsia="仿宋_GB2312" w:cs="TimesNewRoman"/>
          <w:kern w:val="0"/>
          <w:sz w:val="32"/>
          <w:szCs w:val="32"/>
        </w:rPr>
        <w:t>。</w:t>
      </w:r>
    </w:p>
    <w:p w14:paraId="2E5ECDB1">
      <w:pPr>
        <w:ind w:firstLine="640" w:firstLineChars="200"/>
        <w:rPr>
          <w:rFonts w:hint="eastAsia" w:ascii="仿宋" w:hAnsi="仿宋" w:eastAsia="仿宋" w:cs="仿宋"/>
          <w:color w:val="333333"/>
          <w:sz w:val="32"/>
          <w:szCs w:val="32"/>
          <w:shd w:val="clear" w:color="auto" w:fill="FFFFFF"/>
        </w:rPr>
      </w:pPr>
      <w:r>
        <w:rPr>
          <w:rFonts w:hint="eastAsia" w:ascii="TimesNewRoman" w:hAnsi="TimesNewRoman" w:eastAsia="仿宋_GB2312" w:cs="TimesNewRoman"/>
          <w:kern w:val="0"/>
          <w:sz w:val="32"/>
          <w:szCs w:val="32"/>
          <w:lang w:val="en-US" w:eastAsia="zh-CN"/>
        </w:rPr>
        <w:t>9</w:t>
      </w:r>
      <w:r>
        <w:rPr>
          <w:rFonts w:hint="eastAsia" w:ascii="TimesNewRoman" w:hAnsi="TimesNewRoman" w:eastAsia="仿宋_GB2312" w:cs="TimesNewRoman"/>
          <w:kern w:val="0"/>
          <w:sz w:val="32"/>
          <w:szCs w:val="32"/>
        </w:rPr>
        <w:t>、住房保障支出（类）住房改革支出（款）住房公积金（项）。202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32.93</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0.84</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人员增加</w:t>
      </w:r>
      <w:r>
        <w:rPr>
          <w:rFonts w:hint="eastAsia" w:ascii="TimesNewRoman" w:hAnsi="TimesNewRoman" w:eastAsia="仿宋_GB2312" w:cs="TimesNewRoman"/>
          <w:kern w:val="0"/>
          <w:sz w:val="32"/>
          <w:szCs w:val="32"/>
        </w:rPr>
        <w:t>。</w:t>
      </w:r>
    </w:p>
    <w:p w14:paraId="5A1CDC45">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年一般公共预算基本支出表的说明</w:t>
      </w:r>
    </w:p>
    <w:p w14:paraId="75E12E9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烈山区机关事务管理中心</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年一般公共预算基本支出</w:t>
      </w:r>
      <w:r>
        <w:rPr>
          <w:rFonts w:hint="eastAsia" w:ascii="TimesNewRoman" w:hAnsi="TimesNewRoman" w:eastAsia="仿宋_GB2312" w:cs="TimesNewRoman"/>
          <w:kern w:val="0"/>
          <w:sz w:val="32"/>
          <w:szCs w:val="32"/>
          <w:lang w:val="en-US" w:eastAsia="zh-CN"/>
        </w:rPr>
        <w:t>429.78</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400.75</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29.03</w:t>
      </w:r>
      <w:r>
        <w:rPr>
          <w:rFonts w:hint="eastAsia" w:ascii="TimesNewRoman" w:hAnsi="TimesNewRoman" w:eastAsia="仿宋_GB2312" w:cs="TimesNewRoman"/>
          <w:kern w:val="0"/>
          <w:sz w:val="32"/>
          <w:szCs w:val="32"/>
        </w:rPr>
        <w:t>万元。</w:t>
      </w:r>
    </w:p>
    <w:p w14:paraId="14E3EDBF">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400.75</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机关事业单位基本养老保险费、职业年金缴费、职工基本医疗保险缴费、公务员医疗补助缴费、其他社会保障缴费、工会经费、福利费、住房公积金、其他工资福利支出、退休费、医疗费补助、其他对个人和家庭的补助支出。</w:t>
      </w:r>
    </w:p>
    <w:p w14:paraId="51330D42">
      <w:pPr>
        <w:ind w:firstLine="643"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29.03</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主要包括：办公费、邮电费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培训费、其他交通费用、其他对个人和家庭的补助支出。</w:t>
      </w:r>
    </w:p>
    <w:p w14:paraId="1F4307A4">
      <w:pPr>
        <w:pStyle w:val="5"/>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年政府性基金预算支出表的说明</w:t>
      </w:r>
    </w:p>
    <w:p w14:paraId="1D77A57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烈山区机关事务管理中心</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年没有政府性基金预算拨款收入，也没有使用政府性基金预算拨款安排的支出。</w:t>
      </w:r>
    </w:p>
    <w:p w14:paraId="650B6CC5">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年国有资本经营预算支出表的说明</w:t>
      </w:r>
    </w:p>
    <w:p w14:paraId="0C4ECD8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烈山区机关事务管理中心</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年没有国有资本经营预算拨款收入，也没有使用国有资本经营预算拨款安排的支出。</w:t>
      </w:r>
    </w:p>
    <w:p w14:paraId="612D2F01">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年项目支出表的说明</w:t>
      </w:r>
    </w:p>
    <w:p w14:paraId="68E77EE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烈山区机关事务管理中心</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年预算共安排项目支出</w:t>
      </w:r>
      <w:r>
        <w:rPr>
          <w:rFonts w:hint="eastAsia" w:ascii="TimesNewRoman" w:hAnsi="TimesNewRoman" w:eastAsia="仿宋_GB2312" w:cs="TimesNewRoman"/>
          <w:kern w:val="0"/>
          <w:sz w:val="32"/>
          <w:szCs w:val="32"/>
          <w:lang w:val="en-US" w:eastAsia="zh-CN"/>
        </w:rPr>
        <w:t>2348.32</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244.62</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，公务用车购置预算经费减少</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2348.32</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2348.32</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5C194D61">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年政府采购支出表的说明</w:t>
      </w:r>
    </w:p>
    <w:p w14:paraId="4AAF02C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烈山区机关事务管理中心</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lang w:eastAsia="zh-CN"/>
        </w:rPr>
        <w:t>025</w:t>
      </w:r>
      <w:r>
        <w:rPr>
          <w:rFonts w:hint="eastAsia" w:ascii="TimesNewRoman" w:hAnsi="TimesNewRoman" w:eastAsia="仿宋_GB2312" w:cs="TimesNewRoman"/>
          <w:kern w:val="0"/>
          <w:sz w:val="32"/>
          <w:szCs w:val="32"/>
        </w:rPr>
        <w:t>年没有使用一般公共预算拨款、政府性基金预算拨款、国有资本经营预算拨款、财政专户管理资金和单位资金安排的政府采购支出。</w:t>
      </w:r>
    </w:p>
    <w:p w14:paraId="10751B53">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年政府购买服务支出表的说明</w:t>
      </w:r>
    </w:p>
    <w:p w14:paraId="13BFBD2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烈山区机关事务管理中心</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年没有安排政府购买服务支出。</w:t>
      </w:r>
    </w:p>
    <w:p w14:paraId="16633EB6">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19DD3C1E">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7DEA375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r>
        <w:rPr>
          <w:rFonts w:hint="default" w:ascii="TimesNewRoman" w:hAnsi="TimesNewRoman" w:eastAsia="仿宋_GB2312" w:cs="TimesNewRoman"/>
          <w:kern w:val="0"/>
          <w:sz w:val="32"/>
          <w:szCs w:val="32"/>
          <w:lang w:val="en-US" w:eastAsia="zh-CN"/>
        </w:rPr>
        <w:t>公车平台运行经费项目</w:t>
      </w:r>
      <w:r>
        <w:rPr>
          <w:rFonts w:hint="eastAsia" w:ascii="TimesNewRoman" w:hAnsi="TimesNewRoman" w:eastAsia="仿宋_GB2312" w:cs="TimesNewRoman"/>
          <w:kern w:val="0"/>
          <w:sz w:val="32"/>
          <w:szCs w:val="32"/>
        </w:rPr>
        <w:t>”项目。</w:t>
      </w:r>
    </w:p>
    <w:p w14:paraId="76F3C7B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default" w:ascii="TimesNewRoman" w:hAnsi="TimesNewRoman" w:eastAsia="仿宋_GB2312" w:cs="TimesNewRoman"/>
          <w:kern w:val="0"/>
          <w:sz w:val="32"/>
          <w:szCs w:val="32"/>
          <w:lang w:val="en-US" w:eastAsia="zh-CN"/>
        </w:rPr>
        <w:t>围绕建设节约型、廉洁型机关的要求，建立公务用车管理平台，合理配置公务用车资源，对机关公务用车实行集中管理、统一调度、统一结算，坚持社会化和市场化方向，达到降低公务交通成本，提高行政工作效率的目的。</w:t>
      </w:r>
      <w:bookmarkStart w:id="0" w:name="_GoBack"/>
      <w:bookmarkEnd w:id="0"/>
    </w:p>
    <w:p w14:paraId="55401DE0">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（2）立项依据。</w:t>
      </w:r>
      <w:r>
        <w:rPr>
          <w:rFonts w:hint="default" w:ascii="TimesNewRoman" w:hAnsi="TimesNewRoman" w:eastAsia="仿宋_GB2312" w:cs="TimesNewRoman"/>
          <w:kern w:val="0"/>
          <w:sz w:val="32"/>
          <w:szCs w:val="32"/>
          <w:lang w:val="en-US" w:eastAsia="zh-CN"/>
        </w:rPr>
        <w:t>《淮北市公务用车制度改革实施方案》、《淮北市公务用车制度改革实施方案》</w:t>
      </w:r>
    </w:p>
    <w:p w14:paraId="4C3EEA9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eastAsia="zh-CN"/>
        </w:rPr>
        <w:t>淮北市烈山区机关事务管理中心公车平台。</w:t>
      </w:r>
    </w:p>
    <w:p w14:paraId="17E79C1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val="en-US" w:eastAsia="zh-CN"/>
        </w:rPr>
        <w:t>2025</w:t>
      </w:r>
      <w:r>
        <w:rPr>
          <w:rFonts w:hint="default" w:ascii="TimesNewRoman" w:hAnsi="TimesNewRoman" w:eastAsia="仿宋_GB2312" w:cs="TimesNewRoman"/>
          <w:kern w:val="0"/>
          <w:sz w:val="32"/>
          <w:szCs w:val="32"/>
          <w:lang w:val="en-US" w:eastAsia="zh-CN"/>
        </w:rPr>
        <w:t>年1月-</w:t>
      </w:r>
      <w:r>
        <w:rPr>
          <w:rFonts w:hint="eastAsia" w:ascii="TimesNewRoman" w:hAnsi="TimesNewRoman" w:eastAsia="仿宋_GB2312" w:cs="TimesNewRoman"/>
          <w:kern w:val="0"/>
          <w:sz w:val="32"/>
          <w:szCs w:val="32"/>
          <w:lang w:val="en-US" w:eastAsia="zh-CN"/>
        </w:rPr>
        <w:t>2025</w:t>
      </w:r>
      <w:r>
        <w:rPr>
          <w:rFonts w:hint="default" w:ascii="TimesNewRoman" w:hAnsi="TimesNewRoman" w:eastAsia="仿宋_GB2312" w:cs="TimesNewRoman"/>
          <w:kern w:val="0"/>
          <w:sz w:val="32"/>
          <w:szCs w:val="32"/>
          <w:lang w:val="en-US" w:eastAsia="zh-CN"/>
        </w:rPr>
        <w:t>年12月</w:t>
      </w:r>
    </w:p>
    <w:p w14:paraId="7960868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default" w:ascii="TimesNewRoman" w:hAnsi="TimesNewRoman" w:eastAsia="仿宋_GB2312" w:cs="TimesNewRoman"/>
          <w:kern w:val="0"/>
          <w:sz w:val="32"/>
          <w:szCs w:val="32"/>
          <w:lang w:val="en-US" w:eastAsia="zh-CN"/>
        </w:rPr>
        <w:t>认真贯彻落实中央和我省有关公务用车制度改革的指导思想、原则和方针，合理有效配置公务用车资源，创新公务交通分类提供方式，实现全区公务用车运行等费用大幅度降低和节制率的目标，建立符合烈山区实际的新型公务用车制度，确保我区各级党政机关工作高效有序运转。预算与绩效目标、项目内容相匹配，预算安排与预期效益对比分析，投入产出比合理，能以最低的成本，最大限度达到预期工作目标，实现预期项目效益。</w:t>
      </w:r>
    </w:p>
    <w:p w14:paraId="25FCEA8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default" w:ascii="TimesNewRoman" w:hAnsi="TimesNewRoman" w:eastAsia="仿宋_GB2312" w:cs="TimesNewRoman"/>
          <w:kern w:val="0"/>
          <w:sz w:val="32"/>
          <w:szCs w:val="32"/>
          <w:lang w:val="en-US" w:eastAsia="zh-CN"/>
        </w:rPr>
        <w:t>本年度本级预算安排金额</w:t>
      </w:r>
      <w:r>
        <w:rPr>
          <w:rFonts w:hint="eastAsia" w:ascii="TimesNewRoman" w:hAnsi="TimesNewRoman" w:eastAsia="仿宋_GB2312" w:cs="TimesNewRoman"/>
          <w:kern w:val="0"/>
          <w:sz w:val="32"/>
          <w:szCs w:val="32"/>
          <w:lang w:val="en-US" w:eastAsia="zh-CN"/>
        </w:rPr>
        <w:t>230</w:t>
      </w:r>
      <w:r>
        <w:rPr>
          <w:rFonts w:hint="default" w:ascii="TimesNewRoman" w:hAnsi="TimesNewRoman" w:eastAsia="仿宋_GB2312" w:cs="TimesNewRoman"/>
          <w:kern w:val="0"/>
          <w:sz w:val="32"/>
          <w:szCs w:val="32"/>
          <w:lang w:val="en-US" w:eastAsia="zh-CN"/>
        </w:rPr>
        <w:t>万元。</w:t>
      </w:r>
    </w:p>
    <w:p w14:paraId="0DFD981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3884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294F11D">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16DD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39725AC">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2025</w:t>
            </w:r>
            <w:r>
              <w:rPr>
                <w:rFonts w:hint="eastAsia" w:ascii="宋体" w:hAnsi="宋体" w:eastAsia="宋体" w:cs="宋体"/>
                <w:color w:val="000000"/>
                <w:kern w:val="0"/>
                <w:sz w:val="20"/>
                <w:szCs w:val="20"/>
              </w:rPr>
              <w:t xml:space="preserve">年度）                                </w:t>
            </w:r>
          </w:p>
        </w:tc>
      </w:tr>
      <w:tr w14:paraId="5ACE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5F687C8">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48673778">
            <w:pPr>
              <w:jc w:val="center"/>
              <w:rPr>
                <w:rFonts w:ascii="宋体" w:cs="宋体"/>
                <w:sz w:val="20"/>
              </w:rPr>
            </w:pPr>
            <w:r>
              <w:rPr>
                <w:rFonts w:hint="eastAsia" w:ascii="宋体" w:hAnsi="宋体" w:eastAsia="宋体" w:cs="宋体"/>
                <w:i w:val="0"/>
                <w:iCs w:val="0"/>
                <w:color w:val="000000"/>
                <w:kern w:val="0"/>
                <w:sz w:val="18"/>
                <w:szCs w:val="18"/>
                <w:u w:val="none"/>
                <w:lang w:val="en-US" w:eastAsia="zh-CN" w:bidi="ar"/>
              </w:rPr>
              <w:t>公车平台运行经费</w:t>
            </w:r>
          </w:p>
        </w:tc>
      </w:tr>
      <w:tr w14:paraId="0367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915B12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05BD416E">
            <w:pPr>
              <w:jc w:val="center"/>
              <w:rPr>
                <w:rFonts w:ascii="宋体" w:cs="宋体"/>
                <w:sz w:val="20"/>
              </w:rPr>
            </w:pPr>
            <w:r>
              <w:rPr>
                <w:rFonts w:hint="eastAsia" w:ascii="宋体" w:hAnsi="宋体" w:eastAsia="宋体" w:cs="宋体"/>
                <w:i w:val="0"/>
                <w:iCs w:val="0"/>
                <w:color w:val="000000"/>
                <w:kern w:val="0"/>
                <w:sz w:val="18"/>
                <w:szCs w:val="18"/>
                <w:u w:val="none"/>
                <w:lang w:val="en-US" w:eastAsia="zh-CN" w:bidi="ar"/>
              </w:rPr>
              <w:t>[010]淮北市烈山区机关事务管理中心</w:t>
            </w:r>
          </w:p>
        </w:tc>
        <w:tc>
          <w:tcPr>
            <w:tcW w:w="1848" w:type="dxa"/>
            <w:tcBorders>
              <w:tl2br w:val="nil"/>
              <w:tr2bl w:val="nil"/>
            </w:tcBorders>
            <w:vAlign w:val="center"/>
          </w:tcPr>
          <w:p w14:paraId="42F9A5E9">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250B03B2">
            <w:pPr>
              <w:jc w:val="center"/>
            </w:pPr>
            <w:r>
              <w:rPr>
                <w:rFonts w:hint="eastAsia" w:ascii="宋体" w:hAnsi="宋体" w:eastAsia="宋体" w:cs="宋体"/>
                <w:i w:val="0"/>
                <w:iCs w:val="0"/>
                <w:color w:val="000000"/>
                <w:kern w:val="0"/>
                <w:sz w:val="18"/>
                <w:szCs w:val="18"/>
                <w:u w:val="none"/>
                <w:lang w:val="en-US" w:eastAsia="zh-CN" w:bidi="ar"/>
              </w:rPr>
              <w:t>淮北市烈山区机关事务管理中心</w:t>
            </w:r>
          </w:p>
        </w:tc>
      </w:tr>
      <w:tr w14:paraId="7926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ED5AAEB">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2E451FBB">
            <w:pPr>
              <w:jc w:val="center"/>
              <w:rPr>
                <w:rFonts w:ascii="宋体" w:cs="宋体"/>
                <w:sz w:val="20"/>
              </w:rPr>
            </w:pPr>
            <w:r>
              <w:rPr>
                <w:rFonts w:hint="eastAsia" w:ascii="宋体" w:cs="宋体"/>
                <w:sz w:val="20"/>
              </w:rPr>
              <w:t>本级申报项目</w:t>
            </w:r>
          </w:p>
        </w:tc>
        <w:tc>
          <w:tcPr>
            <w:tcW w:w="1848" w:type="dxa"/>
            <w:tcBorders>
              <w:tl2br w:val="nil"/>
              <w:tr2bl w:val="nil"/>
            </w:tcBorders>
            <w:vAlign w:val="center"/>
          </w:tcPr>
          <w:p w14:paraId="1DD4CB69">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3673B948">
            <w:pPr>
              <w:jc w:val="center"/>
            </w:pPr>
            <w:r>
              <w:rPr>
                <w:rFonts w:hint="eastAsia" w:ascii="宋体" w:hAnsi="宋体" w:eastAsia="宋体" w:cs="宋体"/>
                <w:i w:val="0"/>
                <w:iCs w:val="0"/>
                <w:color w:val="000000"/>
                <w:kern w:val="0"/>
                <w:sz w:val="18"/>
                <w:szCs w:val="18"/>
                <w:u w:val="none"/>
                <w:lang w:val="en-US" w:eastAsia="zh-CN" w:bidi="ar"/>
              </w:rPr>
              <w:t xml:space="preserve"> 1年 </w:t>
            </w:r>
          </w:p>
        </w:tc>
      </w:tr>
      <w:tr w14:paraId="5B11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2B12772">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0EE9379A">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522C0D04">
            <w:pPr>
              <w:jc w:val="center"/>
              <w:rPr>
                <w:rFonts w:hint="default" w:ascii="宋体" w:cs="宋体" w:eastAsiaTheme="minorEastAsia"/>
                <w:sz w:val="20"/>
                <w:lang w:val="en-US" w:eastAsia="zh-CN"/>
              </w:rPr>
            </w:pPr>
            <w:r>
              <w:rPr>
                <w:rFonts w:hint="eastAsia" w:ascii="宋体" w:cs="宋体"/>
                <w:sz w:val="20"/>
                <w:lang w:val="en-US" w:eastAsia="zh-CN"/>
              </w:rPr>
              <w:t>230</w:t>
            </w:r>
          </w:p>
        </w:tc>
      </w:tr>
      <w:tr w14:paraId="5428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1AC0E50">
            <w:pPr>
              <w:jc w:val="center"/>
              <w:rPr>
                <w:rFonts w:ascii="宋体" w:cs="宋体"/>
                <w:sz w:val="20"/>
              </w:rPr>
            </w:pPr>
          </w:p>
        </w:tc>
        <w:tc>
          <w:tcPr>
            <w:tcW w:w="3349" w:type="dxa"/>
            <w:gridSpan w:val="2"/>
            <w:tcBorders>
              <w:tl2br w:val="nil"/>
              <w:tr2bl w:val="nil"/>
            </w:tcBorders>
            <w:vAlign w:val="center"/>
          </w:tcPr>
          <w:p w14:paraId="1CDA6FB9">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7549236F">
            <w:pPr>
              <w:jc w:val="center"/>
              <w:rPr>
                <w:rFonts w:hint="default" w:ascii="宋体" w:cs="宋体" w:eastAsiaTheme="minorEastAsia"/>
                <w:sz w:val="20"/>
                <w:lang w:val="en-US" w:eastAsia="zh-CN"/>
              </w:rPr>
            </w:pPr>
            <w:r>
              <w:rPr>
                <w:rFonts w:hint="eastAsia" w:ascii="宋体" w:cs="宋体"/>
                <w:sz w:val="20"/>
                <w:lang w:val="en-US" w:eastAsia="zh-CN"/>
              </w:rPr>
              <w:t>230</w:t>
            </w:r>
          </w:p>
        </w:tc>
      </w:tr>
      <w:tr w14:paraId="4C74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D98BF3E">
            <w:pPr>
              <w:jc w:val="center"/>
              <w:rPr>
                <w:rFonts w:ascii="宋体" w:cs="宋体"/>
                <w:sz w:val="20"/>
              </w:rPr>
            </w:pPr>
          </w:p>
        </w:tc>
        <w:tc>
          <w:tcPr>
            <w:tcW w:w="3349" w:type="dxa"/>
            <w:gridSpan w:val="2"/>
            <w:tcBorders>
              <w:tl2br w:val="nil"/>
              <w:tr2bl w:val="nil"/>
            </w:tcBorders>
            <w:vAlign w:val="center"/>
          </w:tcPr>
          <w:p w14:paraId="30A34583">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68098CB5">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3C82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C021570">
            <w:pPr>
              <w:jc w:val="center"/>
              <w:rPr>
                <w:rFonts w:ascii="宋体" w:cs="宋体"/>
                <w:sz w:val="20"/>
              </w:rPr>
            </w:pPr>
          </w:p>
        </w:tc>
        <w:tc>
          <w:tcPr>
            <w:tcW w:w="3349" w:type="dxa"/>
            <w:gridSpan w:val="2"/>
            <w:tcBorders>
              <w:tl2br w:val="nil"/>
              <w:tr2bl w:val="nil"/>
            </w:tcBorders>
            <w:vAlign w:val="center"/>
          </w:tcPr>
          <w:p w14:paraId="2DD48285">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113DE392">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5129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080F678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092B6973">
            <w:pPr>
              <w:jc w:val="left"/>
              <w:rPr>
                <w:rFonts w:ascii="宋体" w:cs="宋体"/>
                <w:sz w:val="20"/>
              </w:rPr>
            </w:pPr>
            <w:r>
              <w:rPr>
                <w:rFonts w:hint="eastAsia" w:ascii="宋体" w:cs="宋体"/>
                <w:sz w:val="20"/>
              </w:rPr>
              <w:t>1.规范公务用车运行管理，有效降低行政成本。极组建公务用车平台，建立健全长效工作机制，最终实现降低行政成本，合理配置公务用车资源，创新公务交通分类提供方式。形成符合中央改革精神和地方实际的新型公务用车制度2.一是巩固车改工作成果，借鉴先进经验以完善平台车辆的用车管理制度，进一步精细公车使用管理；二继续使用车载终端系统，完善公车管理平台规范化建设；三是抓好司勤人员的培训教育，做到文明驾驶，安全行车。</w:t>
            </w:r>
          </w:p>
        </w:tc>
      </w:tr>
      <w:tr w14:paraId="520D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6E47EA9">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16A0ADD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6B2451D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6A7A45FB">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59183680">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0F0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 w:type="dxa"/>
            <w:vMerge w:val="continue"/>
            <w:tcBorders>
              <w:tl2br w:val="nil"/>
              <w:tr2bl w:val="nil"/>
            </w:tcBorders>
            <w:vAlign w:val="center"/>
          </w:tcPr>
          <w:p w14:paraId="03A35D4A">
            <w:pPr>
              <w:jc w:val="center"/>
              <w:rPr>
                <w:rFonts w:ascii="宋体" w:cs="宋体"/>
                <w:sz w:val="20"/>
              </w:rPr>
            </w:pPr>
          </w:p>
        </w:tc>
        <w:tc>
          <w:tcPr>
            <w:tcW w:w="723" w:type="dxa"/>
            <w:vMerge w:val="restart"/>
            <w:tcBorders>
              <w:tl2br w:val="nil"/>
              <w:tr2bl w:val="nil"/>
            </w:tcBorders>
            <w:vAlign w:val="center"/>
          </w:tcPr>
          <w:p w14:paraId="77FC0EB5">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77A2FC5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427B42EC">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保障车辆数</w:t>
            </w:r>
          </w:p>
        </w:tc>
        <w:tc>
          <w:tcPr>
            <w:tcW w:w="4228" w:type="dxa"/>
            <w:gridSpan w:val="2"/>
            <w:tcBorders>
              <w:tl2br w:val="nil"/>
              <w:tr2bl w:val="nil"/>
            </w:tcBorders>
            <w:vAlign w:val="center"/>
          </w:tcPr>
          <w:p w14:paraId="18583E38">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≤42辆</w:t>
            </w:r>
          </w:p>
        </w:tc>
      </w:tr>
      <w:tr w14:paraId="1425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38" w:type="dxa"/>
            <w:vMerge w:val="continue"/>
            <w:tcBorders>
              <w:tl2br w:val="nil"/>
              <w:tr2bl w:val="nil"/>
            </w:tcBorders>
            <w:vAlign w:val="center"/>
          </w:tcPr>
          <w:p w14:paraId="61B75960">
            <w:pPr>
              <w:jc w:val="center"/>
              <w:rPr>
                <w:rFonts w:ascii="宋体" w:cs="宋体"/>
                <w:sz w:val="20"/>
              </w:rPr>
            </w:pPr>
          </w:p>
        </w:tc>
        <w:tc>
          <w:tcPr>
            <w:tcW w:w="723" w:type="dxa"/>
            <w:vMerge w:val="continue"/>
            <w:tcBorders>
              <w:tl2br w:val="nil"/>
              <w:tr2bl w:val="nil"/>
            </w:tcBorders>
            <w:vAlign w:val="center"/>
          </w:tcPr>
          <w:p w14:paraId="2677DF76">
            <w:pPr>
              <w:jc w:val="center"/>
              <w:rPr>
                <w:rFonts w:ascii="宋体" w:cs="宋体"/>
                <w:sz w:val="20"/>
              </w:rPr>
            </w:pPr>
          </w:p>
        </w:tc>
        <w:tc>
          <w:tcPr>
            <w:tcW w:w="759" w:type="dxa"/>
            <w:gridSpan w:val="2"/>
            <w:tcBorders>
              <w:tl2br w:val="nil"/>
              <w:tr2bl w:val="nil"/>
            </w:tcBorders>
            <w:vAlign w:val="center"/>
          </w:tcPr>
          <w:p w14:paraId="5738032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01707C80">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保障公车出行</w:t>
            </w:r>
          </w:p>
        </w:tc>
        <w:tc>
          <w:tcPr>
            <w:tcW w:w="4228" w:type="dxa"/>
            <w:gridSpan w:val="2"/>
            <w:tcBorders>
              <w:tl2br w:val="nil"/>
              <w:tr2bl w:val="nil"/>
            </w:tcBorders>
            <w:vAlign w:val="center"/>
          </w:tcPr>
          <w:p w14:paraId="29E5F1A0">
            <w:pPr>
              <w:jc w:val="center"/>
              <w:rPr>
                <w:rFonts w:hint="eastAsia" w:ascii="宋体" w:cs="宋体" w:eastAsiaTheme="minorEastAsia"/>
                <w:sz w:val="20"/>
                <w:lang w:eastAsia="zh-CN"/>
              </w:rPr>
            </w:pPr>
            <w:r>
              <w:rPr>
                <w:rFonts w:hint="eastAsia" w:ascii="宋体" w:cs="宋体"/>
                <w:sz w:val="20"/>
                <w:lang w:eastAsia="zh-CN"/>
              </w:rPr>
              <w:t>优</w:t>
            </w:r>
          </w:p>
        </w:tc>
      </w:tr>
      <w:tr w14:paraId="74B4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38" w:type="dxa"/>
            <w:vMerge w:val="continue"/>
            <w:tcBorders>
              <w:tl2br w:val="nil"/>
              <w:tr2bl w:val="nil"/>
            </w:tcBorders>
            <w:vAlign w:val="center"/>
          </w:tcPr>
          <w:p w14:paraId="5ADC1218">
            <w:pPr>
              <w:jc w:val="center"/>
              <w:rPr>
                <w:rFonts w:ascii="宋体" w:cs="宋体"/>
                <w:sz w:val="20"/>
              </w:rPr>
            </w:pPr>
          </w:p>
        </w:tc>
        <w:tc>
          <w:tcPr>
            <w:tcW w:w="723" w:type="dxa"/>
            <w:vMerge w:val="continue"/>
            <w:tcBorders>
              <w:tl2br w:val="nil"/>
              <w:tr2bl w:val="nil"/>
            </w:tcBorders>
            <w:vAlign w:val="center"/>
          </w:tcPr>
          <w:p w14:paraId="597FF11D">
            <w:pPr>
              <w:jc w:val="center"/>
              <w:rPr>
                <w:rFonts w:ascii="宋体" w:cs="宋体"/>
                <w:sz w:val="20"/>
              </w:rPr>
            </w:pPr>
          </w:p>
        </w:tc>
        <w:tc>
          <w:tcPr>
            <w:tcW w:w="759" w:type="dxa"/>
            <w:gridSpan w:val="2"/>
            <w:tcBorders>
              <w:tl2br w:val="nil"/>
              <w:tr2bl w:val="nil"/>
            </w:tcBorders>
            <w:vAlign w:val="center"/>
          </w:tcPr>
          <w:p w14:paraId="29A5D67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7ED2DD1E">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项目完成及时</w:t>
            </w:r>
          </w:p>
        </w:tc>
        <w:tc>
          <w:tcPr>
            <w:tcW w:w="4228" w:type="dxa"/>
            <w:gridSpan w:val="2"/>
            <w:tcBorders>
              <w:tl2br w:val="nil"/>
              <w:tr2bl w:val="nil"/>
            </w:tcBorders>
            <w:vAlign w:val="center"/>
          </w:tcPr>
          <w:p w14:paraId="24DA1CC9">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按时完成</w:t>
            </w:r>
          </w:p>
        </w:tc>
      </w:tr>
      <w:tr w14:paraId="4F52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8" w:type="dxa"/>
            <w:vMerge w:val="continue"/>
            <w:tcBorders>
              <w:tl2br w:val="nil"/>
              <w:tr2bl w:val="nil"/>
            </w:tcBorders>
            <w:vAlign w:val="center"/>
          </w:tcPr>
          <w:p w14:paraId="6277A929">
            <w:pPr>
              <w:jc w:val="center"/>
              <w:rPr>
                <w:rFonts w:ascii="宋体" w:cs="宋体"/>
                <w:sz w:val="20"/>
              </w:rPr>
            </w:pPr>
          </w:p>
        </w:tc>
        <w:tc>
          <w:tcPr>
            <w:tcW w:w="723" w:type="dxa"/>
            <w:vMerge w:val="continue"/>
            <w:tcBorders>
              <w:tl2br w:val="nil"/>
              <w:tr2bl w:val="nil"/>
            </w:tcBorders>
            <w:vAlign w:val="center"/>
          </w:tcPr>
          <w:p w14:paraId="5D850A91">
            <w:pPr>
              <w:jc w:val="center"/>
              <w:rPr>
                <w:rFonts w:ascii="宋体" w:cs="宋体"/>
                <w:sz w:val="20"/>
              </w:rPr>
            </w:pPr>
          </w:p>
        </w:tc>
        <w:tc>
          <w:tcPr>
            <w:tcW w:w="759" w:type="dxa"/>
            <w:gridSpan w:val="2"/>
            <w:tcBorders>
              <w:tl2br w:val="nil"/>
              <w:tr2bl w:val="nil"/>
            </w:tcBorders>
            <w:vAlign w:val="center"/>
          </w:tcPr>
          <w:p w14:paraId="4983636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563BFF53">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公务用车费用总成本</w:t>
            </w:r>
          </w:p>
        </w:tc>
        <w:tc>
          <w:tcPr>
            <w:tcW w:w="4228" w:type="dxa"/>
            <w:gridSpan w:val="2"/>
            <w:tcBorders>
              <w:tl2br w:val="nil"/>
              <w:tr2bl w:val="nil"/>
            </w:tcBorders>
            <w:vAlign w:val="center"/>
          </w:tcPr>
          <w:p w14:paraId="57C12A4A">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≤230万元</w:t>
            </w:r>
          </w:p>
        </w:tc>
      </w:tr>
      <w:tr w14:paraId="4F65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7BCE1FB">
            <w:pPr>
              <w:jc w:val="center"/>
              <w:rPr>
                <w:rFonts w:ascii="宋体" w:cs="宋体"/>
                <w:sz w:val="20"/>
              </w:rPr>
            </w:pPr>
          </w:p>
        </w:tc>
        <w:tc>
          <w:tcPr>
            <w:tcW w:w="723" w:type="dxa"/>
            <w:vMerge w:val="restart"/>
            <w:tcBorders>
              <w:tl2br w:val="nil"/>
              <w:tr2bl w:val="nil"/>
            </w:tcBorders>
            <w:vAlign w:val="center"/>
          </w:tcPr>
          <w:p w14:paraId="4DDA5479">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7445826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547F059C">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对减少财政投资成本的改善程度</w:t>
            </w:r>
          </w:p>
        </w:tc>
        <w:tc>
          <w:tcPr>
            <w:tcW w:w="4228" w:type="dxa"/>
            <w:gridSpan w:val="2"/>
            <w:tcBorders>
              <w:tl2br w:val="nil"/>
              <w:tr2bl w:val="nil"/>
            </w:tcBorders>
            <w:vAlign w:val="center"/>
          </w:tcPr>
          <w:p w14:paraId="67F96809">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发挥积极作用</w:t>
            </w:r>
          </w:p>
        </w:tc>
      </w:tr>
      <w:tr w14:paraId="7564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FC7F24B">
            <w:pPr>
              <w:jc w:val="center"/>
              <w:rPr>
                <w:rFonts w:ascii="宋体" w:cs="宋体"/>
                <w:sz w:val="20"/>
              </w:rPr>
            </w:pPr>
          </w:p>
        </w:tc>
        <w:tc>
          <w:tcPr>
            <w:tcW w:w="723" w:type="dxa"/>
            <w:vMerge w:val="continue"/>
            <w:tcBorders>
              <w:tl2br w:val="nil"/>
              <w:tr2bl w:val="nil"/>
            </w:tcBorders>
            <w:vAlign w:val="center"/>
          </w:tcPr>
          <w:p w14:paraId="6664C323">
            <w:pPr>
              <w:jc w:val="center"/>
              <w:rPr>
                <w:rFonts w:ascii="宋体" w:cs="宋体"/>
                <w:sz w:val="20"/>
              </w:rPr>
            </w:pPr>
          </w:p>
        </w:tc>
        <w:tc>
          <w:tcPr>
            <w:tcW w:w="759" w:type="dxa"/>
            <w:gridSpan w:val="2"/>
            <w:tcBorders>
              <w:tl2br w:val="nil"/>
              <w:tr2bl w:val="nil"/>
            </w:tcBorders>
            <w:vAlign w:val="center"/>
          </w:tcPr>
          <w:p w14:paraId="3641A4D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5B029CFE">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对保障各项业务工作正常开展的影响或改善程度</w:t>
            </w:r>
          </w:p>
        </w:tc>
        <w:tc>
          <w:tcPr>
            <w:tcW w:w="4228" w:type="dxa"/>
            <w:gridSpan w:val="2"/>
            <w:tcBorders>
              <w:tl2br w:val="nil"/>
              <w:tr2bl w:val="nil"/>
            </w:tcBorders>
            <w:vAlign w:val="center"/>
          </w:tcPr>
          <w:p w14:paraId="4311AA75">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发挥积极作用</w:t>
            </w:r>
          </w:p>
        </w:tc>
      </w:tr>
      <w:tr w14:paraId="7C6B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AEFDEAA">
            <w:pPr>
              <w:jc w:val="center"/>
              <w:rPr>
                <w:rFonts w:ascii="宋体" w:cs="宋体"/>
                <w:sz w:val="20"/>
              </w:rPr>
            </w:pPr>
          </w:p>
        </w:tc>
        <w:tc>
          <w:tcPr>
            <w:tcW w:w="723" w:type="dxa"/>
            <w:vMerge w:val="continue"/>
            <w:tcBorders>
              <w:tl2br w:val="nil"/>
              <w:tr2bl w:val="nil"/>
            </w:tcBorders>
            <w:vAlign w:val="center"/>
          </w:tcPr>
          <w:p w14:paraId="19FBAB22">
            <w:pPr>
              <w:jc w:val="center"/>
              <w:rPr>
                <w:rFonts w:ascii="宋体" w:cs="宋体"/>
                <w:sz w:val="20"/>
              </w:rPr>
            </w:pPr>
          </w:p>
        </w:tc>
        <w:tc>
          <w:tcPr>
            <w:tcW w:w="759" w:type="dxa"/>
            <w:gridSpan w:val="2"/>
            <w:tcBorders>
              <w:tl2br w:val="nil"/>
              <w:tr2bl w:val="nil"/>
            </w:tcBorders>
            <w:vAlign w:val="center"/>
          </w:tcPr>
          <w:p w14:paraId="0E6AF6E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278D3EBD">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采用节能环保建筑材料，倡导绿色健康环保理念</w:t>
            </w:r>
          </w:p>
        </w:tc>
        <w:tc>
          <w:tcPr>
            <w:tcW w:w="4228" w:type="dxa"/>
            <w:gridSpan w:val="2"/>
            <w:tcBorders>
              <w:tl2br w:val="nil"/>
              <w:tr2bl w:val="nil"/>
            </w:tcBorders>
            <w:vAlign w:val="center"/>
          </w:tcPr>
          <w:p w14:paraId="01A4FE13">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发挥积极作用</w:t>
            </w:r>
          </w:p>
        </w:tc>
      </w:tr>
      <w:tr w14:paraId="0186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6F8D7349">
            <w:pPr>
              <w:jc w:val="center"/>
              <w:rPr>
                <w:rFonts w:ascii="宋体" w:cs="宋体"/>
                <w:sz w:val="20"/>
              </w:rPr>
            </w:pPr>
          </w:p>
        </w:tc>
        <w:tc>
          <w:tcPr>
            <w:tcW w:w="723" w:type="dxa"/>
            <w:vMerge w:val="continue"/>
            <w:tcBorders>
              <w:tl2br w:val="nil"/>
              <w:tr2bl w:val="nil"/>
            </w:tcBorders>
            <w:vAlign w:val="center"/>
          </w:tcPr>
          <w:p w14:paraId="2D2C9C0D">
            <w:pPr>
              <w:jc w:val="center"/>
              <w:rPr>
                <w:rFonts w:ascii="宋体" w:cs="宋体"/>
                <w:sz w:val="20"/>
              </w:rPr>
            </w:pPr>
          </w:p>
        </w:tc>
        <w:tc>
          <w:tcPr>
            <w:tcW w:w="759" w:type="dxa"/>
            <w:gridSpan w:val="2"/>
            <w:tcBorders>
              <w:tl2br w:val="nil"/>
              <w:tr2bl w:val="nil"/>
            </w:tcBorders>
            <w:vAlign w:val="center"/>
          </w:tcPr>
          <w:p w14:paraId="4B06404B">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05EDFF03">
            <w:pPr>
              <w:widowControl/>
              <w:jc w:val="left"/>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对保障机构持续稳定运转、持续发挥职能的改善或提升程度</w:t>
            </w:r>
          </w:p>
        </w:tc>
        <w:tc>
          <w:tcPr>
            <w:tcW w:w="4228" w:type="dxa"/>
            <w:gridSpan w:val="2"/>
            <w:tcBorders>
              <w:tl2br w:val="nil"/>
              <w:tr2bl w:val="nil"/>
            </w:tcBorders>
            <w:vAlign w:val="center"/>
          </w:tcPr>
          <w:p w14:paraId="2A61992B">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发挥积极作用</w:t>
            </w:r>
          </w:p>
        </w:tc>
      </w:tr>
      <w:tr w14:paraId="185E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8" w:type="dxa"/>
            <w:vMerge w:val="continue"/>
            <w:tcBorders>
              <w:tl2br w:val="nil"/>
              <w:tr2bl w:val="nil"/>
            </w:tcBorders>
            <w:vAlign w:val="center"/>
          </w:tcPr>
          <w:p w14:paraId="00B823A9">
            <w:pPr>
              <w:jc w:val="center"/>
              <w:rPr>
                <w:rFonts w:ascii="宋体" w:cs="宋体"/>
                <w:sz w:val="20"/>
              </w:rPr>
            </w:pPr>
          </w:p>
        </w:tc>
        <w:tc>
          <w:tcPr>
            <w:tcW w:w="723" w:type="dxa"/>
            <w:tcBorders>
              <w:tl2br w:val="nil"/>
              <w:tr2bl w:val="nil"/>
            </w:tcBorders>
            <w:vAlign w:val="center"/>
          </w:tcPr>
          <w:p w14:paraId="0FC975E1">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174884EC">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063B0CA3">
            <w:pPr>
              <w:widowControl/>
              <w:jc w:val="left"/>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用车满意度</w:t>
            </w:r>
          </w:p>
        </w:tc>
        <w:tc>
          <w:tcPr>
            <w:tcW w:w="4228" w:type="dxa"/>
            <w:gridSpan w:val="2"/>
            <w:tcBorders>
              <w:tl2br w:val="nil"/>
              <w:tr2bl w:val="nil"/>
            </w:tcBorders>
            <w:vAlign w:val="center"/>
          </w:tcPr>
          <w:p w14:paraId="68FD2DCF">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≥95%</w:t>
            </w:r>
          </w:p>
        </w:tc>
      </w:tr>
    </w:tbl>
    <w:p w14:paraId="7B079950">
      <w:pPr>
        <w:ind w:firstLine="420" w:firstLineChars="200"/>
      </w:pPr>
    </w:p>
    <w:p w14:paraId="41784DE6">
      <w:pPr>
        <w:ind w:firstLine="420" w:firstLineChars="200"/>
      </w:pPr>
    </w:p>
    <w:p w14:paraId="513E6E0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w:t>
      </w:r>
      <w:r>
        <w:rPr>
          <w:rFonts w:hint="eastAsia" w:ascii="仿宋_GB2312" w:hAnsi="宋体" w:eastAsia="仿宋_GB2312" w:cs="宋体"/>
          <w:sz w:val="32"/>
          <w:szCs w:val="32"/>
          <w:lang w:eastAsia="zh-CN"/>
        </w:rPr>
        <w:t>机关事务管理工作经费</w:t>
      </w:r>
      <w:r>
        <w:rPr>
          <w:rFonts w:hint="eastAsia" w:ascii="TimesNewRoman" w:hAnsi="TimesNewRoman" w:eastAsia="仿宋_GB2312" w:cs="TimesNewRoman"/>
          <w:kern w:val="0"/>
          <w:sz w:val="32"/>
          <w:szCs w:val="32"/>
        </w:rPr>
        <w:t>”项目。</w:t>
      </w:r>
    </w:p>
    <w:p w14:paraId="4EC65EAF">
      <w:pPr>
        <w:spacing w:line="580" w:lineRule="exact"/>
        <w:ind w:firstLine="480" w:firstLineChars="150"/>
        <w:rPr>
          <w:rFonts w:ascii="仿宋_GB2312" w:hAnsi="宋体" w:eastAsia="仿宋_GB2312" w:cs="宋体"/>
          <w:b/>
          <w:bCs/>
          <w:kern w:val="2"/>
          <w:sz w:val="36"/>
          <w:szCs w:val="36"/>
        </w:rPr>
      </w:pPr>
      <w:r>
        <w:rPr>
          <w:rFonts w:hint="eastAsia" w:ascii="TimesNewRoman" w:hAnsi="TimesNewRoman" w:eastAsia="仿宋_GB2312" w:cs="TimesNewRoman"/>
          <w:kern w:val="0"/>
          <w:sz w:val="32"/>
          <w:szCs w:val="32"/>
        </w:rPr>
        <w:t>（1）项目概述。</w:t>
      </w:r>
      <w:r>
        <w:rPr>
          <w:rFonts w:hint="eastAsia" w:ascii="仿宋_GB2312" w:hAnsi="仿宋_GB2312" w:eastAsia="仿宋_GB2312" w:cs="仿宋_GB2312"/>
          <w:sz w:val="32"/>
          <w:szCs w:val="32"/>
          <w:lang w:eastAsia="zh-CN"/>
        </w:rPr>
        <w:t>烈山区机关事务管理中心在区委、区政府的正确领导下，认真落实部门职能职责，认真做好事务管理等各项服务工作，确保区级行政中心机关后勤服务、安全保卫、火灾预防、交通管理、安全消防监控、办公秩序维护等工作高效有序运转。</w:t>
      </w:r>
    </w:p>
    <w:p w14:paraId="6FB5818C">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eastAsia="zh-CN"/>
        </w:rPr>
        <w:t>《机关事务管理条例》</w:t>
      </w:r>
    </w:p>
    <w:p w14:paraId="47175E59">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eastAsia="zh-CN"/>
        </w:rPr>
        <w:t>淮北市烈山区机关事务管理中心</w:t>
      </w:r>
    </w:p>
    <w:p w14:paraId="42129962">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val="en-US" w:eastAsia="zh-CN"/>
        </w:rPr>
        <w:t>2025年1月-2025年12月</w:t>
      </w:r>
    </w:p>
    <w:p w14:paraId="725861E5">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5）项目内容。烈山区机关事务管中心局围绕全区中心工作，以管理精准、服务至上、保障高效为目标，全面扎实深入做好区级机关管理、服务、保障工作，认真履行“做好协调、当好参谋、搞好服务”的职能，认真做好事务管理等各项服务工作。坚持“为政府领导服务，为机关工作服务，为机关职工服务”的宗旨，提高管理水平，确保服务质量，加大改革力度，做好后勤各项工作，逐步改善机关工作、生活、福利条件。保证区级行政中心工作高效有序运转，促进了区委、区政府各项决策部署的落实。</w:t>
      </w:r>
    </w:p>
    <w:p w14:paraId="2FA9DE5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w:t>
      </w:r>
      <w:r>
        <w:rPr>
          <w:rFonts w:hint="eastAsia" w:ascii="TimesNewRoman" w:hAnsi="TimesNewRoman" w:eastAsia="仿宋_GB2312" w:cs="TimesNewRoman"/>
          <w:kern w:val="0"/>
          <w:sz w:val="32"/>
          <w:szCs w:val="32"/>
          <w:lang w:val="en-US" w:eastAsia="zh-CN" w:bidi="ar-SA"/>
        </w:rPr>
        <w:t>算安排。</w:t>
      </w:r>
      <w:r>
        <w:rPr>
          <w:rFonts w:hint="default" w:ascii="TimesNewRoman" w:hAnsi="TimesNewRoman" w:eastAsia="仿宋_GB2312" w:cs="TimesNewRoman"/>
          <w:kern w:val="0"/>
          <w:sz w:val="32"/>
          <w:szCs w:val="32"/>
          <w:lang w:val="en-US" w:eastAsia="zh-CN" w:bidi="ar-SA"/>
        </w:rPr>
        <w:t>本</w:t>
      </w:r>
      <w:r>
        <w:rPr>
          <w:rFonts w:hint="default" w:ascii="TimesNewRoman" w:hAnsi="TimesNewRoman" w:eastAsia="仿宋_GB2312" w:cs="TimesNewRoman"/>
          <w:kern w:val="0"/>
          <w:sz w:val="32"/>
          <w:szCs w:val="32"/>
          <w:lang w:val="en-US" w:eastAsia="zh-CN"/>
        </w:rPr>
        <w:t>年度本级预算安排金额</w:t>
      </w:r>
      <w:r>
        <w:rPr>
          <w:rFonts w:hint="eastAsia" w:ascii="仿宋_GB2312" w:hAnsi="宋体" w:eastAsia="仿宋_GB2312" w:cs="宋体"/>
          <w:sz w:val="32"/>
          <w:szCs w:val="32"/>
          <w:lang w:val="en-US" w:eastAsia="zh-CN"/>
        </w:rPr>
        <w:t>2118.32</w:t>
      </w:r>
      <w:r>
        <w:rPr>
          <w:rFonts w:hint="eastAsia" w:ascii="仿宋_GB2312" w:hAnsi="宋体" w:eastAsia="仿宋_GB2312" w:cs="宋体"/>
          <w:sz w:val="32"/>
          <w:szCs w:val="32"/>
        </w:rPr>
        <w:t>万元。</w:t>
      </w:r>
    </w:p>
    <w:p w14:paraId="3351EBBC">
      <w:pPr>
        <w:ind w:firstLine="640" w:firstLineChars="200"/>
        <w:rPr>
          <w:rFonts w:hint="eastAsia" w:ascii="仿宋_GB2312" w:hAnsi="仿宋_GB2312" w:eastAsia="仿宋_GB2312" w:cs="仿宋_GB2312"/>
          <w:color w:val="000000"/>
          <w:sz w:val="32"/>
          <w:szCs w:val="32"/>
          <w:lang w:eastAsia="zh-CN"/>
        </w:rPr>
      </w:pPr>
      <w:r>
        <w:rPr>
          <w:rFonts w:hint="eastAsia" w:ascii="TimesNewRoman" w:hAnsi="TimesNewRoman" w:eastAsia="仿宋_GB2312" w:cs="TimesNewRoman"/>
          <w:kern w:val="0"/>
          <w:sz w:val="32"/>
          <w:szCs w:val="32"/>
        </w:rPr>
        <w:t>（7）绩效目标。</w:t>
      </w:r>
      <w:r>
        <w:rPr>
          <w:rFonts w:hint="eastAsia" w:ascii="仿宋_GB2312" w:hAnsi="仿宋_GB2312" w:eastAsia="仿宋_GB2312" w:cs="仿宋_GB2312"/>
          <w:color w:val="000000"/>
          <w:sz w:val="32"/>
          <w:szCs w:val="32"/>
          <w:lang w:eastAsia="zh-CN"/>
        </w:rPr>
        <w:t>烈山区机关事务管理中心在区委、区政府的正确领导下，按照管理科学化、保障制度化、服务社会化的要求，坚持以服务为根本、以创新为动力，按照节俭、高效、廉洁的原则，狠抓机制创新、狠抓工作落实，紧紧围绕全区的中心工作，认真履行“做好协调、当好参谋、搞好服务”的职能，认真落实部门职能职责，认真做好事务管理等各项服务工作，确保区级行政中心机关后勤服务、安全保卫、火灾预防、交通管理、安全消防监控、办公秩序维护等工作高效有序运转。</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FC9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9F244B4">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2C24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9D95A37">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2025</w:t>
            </w:r>
            <w:r>
              <w:rPr>
                <w:rFonts w:hint="eastAsia" w:ascii="宋体" w:hAnsi="宋体" w:eastAsia="宋体" w:cs="宋体"/>
                <w:color w:val="000000"/>
                <w:kern w:val="0"/>
                <w:sz w:val="20"/>
                <w:szCs w:val="20"/>
              </w:rPr>
              <w:t xml:space="preserve">年度）                                </w:t>
            </w:r>
          </w:p>
        </w:tc>
      </w:tr>
      <w:tr w14:paraId="77BD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3C31567">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7A2F9302">
            <w:pPr>
              <w:jc w:val="center"/>
              <w:rPr>
                <w:rFonts w:ascii="宋体" w:cs="宋体"/>
                <w:sz w:val="20"/>
              </w:rPr>
            </w:pPr>
            <w:r>
              <w:rPr>
                <w:rFonts w:hint="eastAsia" w:ascii="宋体" w:hAnsi="宋体" w:eastAsia="宋体" w:cs="宋体"/>
                <w:i w:val="0"/>
                <w:iCs w:val="0"/>
                <w:color w:val="000000"/>
                <w:kern w:val="0"/>
                <w:sz w:val="18"/>
                <w:szCs w:val="18"/>
                <w:u w:val="none"/>
                <w:lang w:val="en-US" w:eastAsia="zh-CN" w:bidi="ar"/>
              </w:rPr>
              <w:t>机关事务管理工作运行经费</w:t>
            </w:r>
          </w:p>
        </w:tc>
      </w:tr>
      <w:tr w14:paraId="3DE2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5AE56F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1CDBF5CE">
            <w:pPr>
              <w:jc w:val="center"/>
              <w:rPr>
                <w:rFonts w:ascii="宋体" w:cs="宋体"/>
                <w:sz w:val="20"/>
              </w:rPr>
            </w:pPr>
            <w:r>
              <w:rPr>
                <w:rFonts w:hint="eastAsia" w:ascii="宋体" w:hAnsi="宋体" w:eastAsia="宋体" w:cs="宋体"/>
                <w:i w:val="0"/>
                <w:iCs w:val="0"/>
                <w:color w:val="000000"/>
                <w:kern w:val="0"/>
                <w:sz w:val="18"/>
                <w:szCs w:val="18"/>
                <w:u w:val="none"/>
                <w:lang w:val="en-US" w:eastAsia="zh-CN" w:bidi="ar"/>
              </w:rPr>
              <w:t>[010]淮北市烈山区机关事务管理中心</w:t>
            </w:r>
          </w:p>
        </w:tc>
        <w:tc>
          <w:tcPr>
            <w:tcW w:w="1848" w:type="dxa"/>
            <w:tcBorders>
              <w:tl2br w:val="nil"/>
              <w:tr2bl w:val="nil"/>
            </w:tcBorders>
            <w:vAlign w:val="center"/>
          </w:tcPr>
          <w:p w14:paraId="3C8135D6">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69D25A43">
            <w:pPr>
              <w:jc w:val="center"/>
            </w:pPr>
            <w:r>
              <w:rPr>
                <w:rFonts w:hint="eastAsia" w:ascii="宋体" w:hAnsi="宋体" w:eastAsia="宋体" w:cs="宋体"/>
                <w:i w:val="0"/>
                <w:iCs w:val="0"/>
                <w:color w:val="000000"/>
                <w:kern w:val="0"/>
                <w:sz w:val="18"/>
                <w:szCs w:val="18"/>
                <w:u w:val="none"/>
                <w:lang w:val="en-US" w:eastAsia="zh-CN" w:bidi="ar"/>
              </w:rPr>
              <w:t>淮北市烈山区机关事务管理中心</w:t>
            </w:r>
          </w:p>
        </w:tc>
      </w:tr>
      <w:tr w14:paraId="1829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C128AB3">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189E5871">
            <w:pPr>
              <w:jc w:val="center"/>
              <w:rPr>
                <w:rFonts w:ascii="宋体" w:cs="宋体"/>
                <w:sz w:val="20"/>
              </w:rPr>
            </w:pPr>
            <w:r>
              <w:rPr>
                <w:rFonts w:hint="eastAsia" w:ascii="宋体" w:cs="宋体"/>
                <w:sz w:val="20"/>
              </w:rPr>
              <w:t>本级申报项目</w:t>
            </w:r>
          </w:p>
        </w:tc>
        <w:tc>
          <w:tcPr>
            <w:tcW w:w="1848" w:type="dxa"/>
            <w:tcBorders>
              <w:tl2br w:val="nil"/>
              <w:tr2bl w:val="nil"/>
            </w:tcBorders>
            <w:vAlign w:val="center"/>
          </w:tcPr>
          <w:p w14:paraId="633FDCB6">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4FDBCA3D">
            <w:pPr>
              <w:jc w:val="center"/>
            </w:pPr>
            <w:r>
              <w:rPr>
                <w:rFonts w:hint="eastAsia" w:ascii="宋体" w:hAnsi="宋体" w:eastAsia="宋体" w:cs="宋体"/>
                <w:i w:val="0"/>
                <w:iCs w:val="0"/>
                <w:color w:val="000000"/>
                <w:kern w:val="0"/>
                <w:sz w:val="18"/>
                <w:szCs w:val="18"/>
                <w:u w:val="none"/>
                <w:lang w:val="en-US" w:eastAsia="zh-CN" w:bidi="ar"/>
              </w:rPr>
              <w:t xml:space="preserve"> 1年 </w:t>
            </w:r>
          </w:p>
        </w:tc>
      </w:tr>
      <w:tr w14:paraId="4A7E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3F43DC3">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33D71A7F">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002D3A05">
            <w:pPr>
              <w:jc w:val="center"/>
              <w:rPr>
                <w:rFonts w:hint="default" w:ascii="宋体" w:cs="宋体" w:eastAsiaTheme="minorEastAsia"/>
                <w:sz w:val="20"/>
                <w:lang w:val="en-US" w:eastAsia="zh-CN"/>
              </w:rPr>
            </w:pPr>
            <w:r>
              <w:rPr>
                <w:rFonts w:hint="eastAsia" w:ascii="宋体" w:cs="宋体"/>
                <w:sz w:val="20"/>
                <w:lang w:val="en-US" w:eastAsia="zh-CN"/>
              </w:rPr>
              <w:t>3084.55</w:t>
            </w:r>
          </w:p>
        </w:tc>
      </w:tr>
      <w:tr w14:paraId="307B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1E34CAE">
            <w:pPr>
              <w:jc w:val="center"/>
              <w:rPr>
                <w:rFonts w:ascii="宋体" w:cs="宋体"/>
                <w:sz w:val="20"/>
              </w:rPr>
            </w:pPr>
          </w:p>
        </w:tc>
        <w:tc>
          <w:tcPr>
            <w:tcW w:w="3349" w:type="dxa"/>
            <w:gridSpan w:val="2"/>
            <w:tcBorders>
              <w:tl2br w:val="nil"/>
              <w:tr2bl w:val="nil"/>
            </w:tcBorders>
            <w:vAlign w:val="center"/>
          </w:tcPr>
          <w:p w14:paraId="62F902A9">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2C14BC4E">
            <w:pPr>
              <w:jc w:val="center"/>
              <w:rPr>
                <w:rFonts w:hint="default" w:ascii="宋体" w:cs="宋体" w:eastAsiaTheme="minorEastAsia"/>
                <w:sz w:val="20"/>
                <w:lang w:val="en-US" w:eastAsia="zh-CN"/>
              </w:rPr>
            </w:pPr>
            <w:r>
              <w:rPr>
                <w:rFonts w:hint="eastAsia" w:ascii="宋体" w:cs="宋体"/>
                <w:sz w:val="20"/>
                <w:lang w:val="en-US" w:eastAsia="zh-CN"/>
              </w:rPr>
              <w:t xml:space="preserve">2118.32 </w:t>
            </w:r>
          </w:p>
        </w:tc>
      </w:tr>
      <w:tr w14:paraId="53A6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BF89650">
            <w:pPr>
              <w:jc w:val="center"/>
              <w:rPr>
                <w:rFonts w:ascii="宋体" w:cs="宋体"/>
                <w:sz w:val="20"/>
              </w:rPr>
            </w:pPr>
          </w:p>
        </w:tc>
        <w:tc>
          <w:tcPr>
            <w:tcW w:w="3349" w:type="dxa"/>
            <w:gridSpan w:val="2"/>
            <w:tcBorders>
              <w:tl2br w:val="nil"/>
              <w:tr2bl w:val="nil"/>
            </w:tcBorders>
            <w:vAlign w:val="center"/>
          </w:tcPr>
          <w:p w14:paraId="1F85B72F">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4FB82F20">
            <w:pPr>
              <w:jc w:val="center"/>
              <w:rPr>
                <w:rFonts w:hint="default" w:ascii="宋体" w:cs="宋体" w:eastAsiaTheme="minorEastAsia"/>
                <w:sz w:val="20"/>
                <w:lang w:val="en-US" w:eastAsia="zh-CN"/>
              </w:rPr>
            </w:pPr>
            <w:r>
              <w:rPr>
                <w:rFonts w:hint="eastAsia" w:ascii="宋体" w:cs="宋体"/>
                <w:sz w:val="20"/>
                <w:lang w:val="en-US" w:eastAsia="zh-CN"/>
              </w:rPr>
              <w:t>966.23</w:t>
            </w:r>
          </w:p>
        </w:tc>
      </w:tr>
      <w:tr w14:paraId="15CF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242DAF2">
            <w:pPr>
              <w:jc w:val="center"/>
              <w:rPr>
                <w:rFonts w:ascii="宋体" w:cs="宋体"/>
                <w:sz w:val="20"/>
              </w:rPr>
            </w:pPr>
          </w:p>
        </w:tc>
        <w:tc>
          <w:tcPr>
            <w:tcW w:w="3349" w:type="dxa"/>
            <w:gridSpan w:val="2"/>
            <w:tcBorders>
              <w:tl2br w:val="nil"/>
              <w:tr2bl w:val="nil"/>
            </w:tcBorders>
            <w:vAlign w:val="center"/>
          </w:tcPr>
          <w:p w14:paraId="70975A32">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5EF54306">
            <w:pPr>
              <w:jc w:val="center"/>
              <w:rPr>
                <w:rFonts w:hint="eastAsia" w:ascii="宋体" w:cs="宋体" w:eastAsiaTheme="minorEastAsia"/>
                <w:sz w:val="20"/>
                <w:lang w:val="en-US" w:eastAsia="zh-CN"/>
              </w:rPr>
            </w:pPr>
            <w:r>
              <w:rPr>
                <w:rFonts w:hint="eastAsia" w:ascii="宋体" w:cs="宋体"/>
                <w:sz w:val="20"/>
                <w:lang w:val="en-US" w:eastAsia="zh-CN"/>
              </w:rPr>
              <w:t>0</w:t>
            </w:r>
          </w:p>
        </w:tc>
      </w:tr>
      <w:tr w14:paraId="688A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65055FD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1D2BF875">
            <w:pPr>
              <w:jc w:val="left"/>
              <w:rPr>
                <w:rFonts w:ascii="宋体" w:cs="宋体"/>
                <w:sz w:val="20"/>
              </w:rPr>
            </w:pPr>
            <w:r>
              <w:rPr>
                <w:rFonts w:hint="eastAsia" w:ascii="宋体" w:cs="宋体"/>
                <w:sz w:val="20"/>
              </w:rPr>
              <w:t>每月及时缴纳水电费，保障办公区水电的正常供给；确保区域内各类工作设施设备的正常运行，切实做好后勤保障工作；做好办公区食堂就餐保障，不断提高接待服务工作人员的服务意识和业务水平，高质量完成各项接待任务，树立良好形象。</w:t>
            </w:r>
          </w:p>
        </w:tc>
      </w:tr>
      <w:tr w14:paraId="7465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5E4D087B">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078190B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1946017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1285E1F5">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05D654F0">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283F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 w:type="dxa"/>
            <w:vMerge w:val="continue"/>
            <w:tcBorders>
              <w:tl2br w:val="nil"/>
              <w:tr2bl w:val="nil"/>
            </w:tcBorders>
            <w:vAlign w:val="center"/>
          </w:tcPr>
          <w:p w14:paraId="13EAF5CF">
            <w:pPr>
              <w:jc w:val="center"/>
              <w:rPr>
                <w:rFonts w:ascii="宋体" w:cs="宋体"/>
                <w:sz w:val="20"/>
              </w:rPr>
            </w:pPr>
          </w:p>
        </w:tc>
        <w:tc>
          <w:tcPr>
            <w:tcW w:w="723" w:type="dxa"/>
            <w:vMerge w:val="restart"/>
            <w:tcBorders>
              <w:tl2br w:val="nil"/>
              <w:tr2bl w:val="nil"/>
            </w:tcBorders>
            <w:vAlign w:val="center"/>
          </w:tcPr>
          <w:p w14:paraId="0A7D4988">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5CC7EFA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4339EE09">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服务人数数量</w:t>
            </w:r>
          </w:p>
        </w:tc>
        <w:tc>
          <w:tcPr>
            <w:tcW w:w="4228" w:type="dxa"/>
            <w:gridSpan w:val="2"/>
            <w:tcBorders>
              <w:tl2br w:val="nil"/>
              <w:tr2bl w:val="nil"/>
            </w:tcBorders>
            <w:vAlign w:val="center"/>
          </w:tcPr>
          <w:p w14:paraId="4C0A7CC8">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≥1000人次</w:t>
            </w:r>
          </w:p>
        </w:tc>
      </w:tr>
      <w:tr w14:paraId="1A46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38" w:type="dxa"/>
            <w:vMerge w:val="continue"/>
            <w:tcBorders>
              <w:tl2br w:val="nil"/>
              <w:tr2bl w:val="nil"/>
            </w:tcBorders>
            <w:vAlign w:val="center"/>
          </w:tcPr>
          <w:p w14:paraId="44B27864">
            <w:pPr>
              <w:jc w:val="center"/>
              <w:rPr>
                <w:rFonts w:ascii="宋体" w:cs="宋体"/>
                <w:sz w:val="20"/>
              </w:rPr>
            </w:pPr>
          </w:p>
        </w:tc>
        <w:tc>
          <w:tcPr>
            <w:tcW w:w="723" w:type="dxa"/>
            <w:vMerge w:val="continue"/>
            <w:tcBorders>
              <w:tl2br w:val="nil"/>
              <w:tr2bl w:val="nil"/>
            </w:tcBorders>
            <w:vAlign w:val="center"/>
          </w:tcPr>
          <w:p w14:paraId="59C3FDE1">
            <w:pPr>
              <w:jc w:val="center"/>
              <w:rPr>
                <w:rFonts w:ascii="宋体" w:cs="宋体"/>
                <w:sz w:val="20"/>
              </w:rPr>
            </w:pPr>
          </w:p>
        </w:tc>
        <w:tc>
          <w:tcPr>
            <w:tcW w:w="759" w:type="dxa"/>
            <w:gridSpan w:val="2"/>
            <w:tcBorders>
              <w:tl2br w:val="nil"/>
              <w:tr2bl w:val="nil"/>
            </w:tcBorders>
            <w:vAlign w:val="center"/>
          </w:tcPr>
          <w:p w14:paraId="664D505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6F9055B8">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经费支出合规性</w:t>
            </w:r>
          </w:p>
        </w:tc>
        <w:tc>
          <w:tcPr>
            <w:tcW w:w="4228" w:type="dxa"/>
            <w:gridSpan w:val="2"/>
            <w:tcBorders>
              <w:tl2br w:val="nil"/>
              <w:tr2bl w:val="nil"/>
            </w:tcBorders>
            <w:vAlign w:val="center"/>
          </w:tcPr>
          <w:p w14:paraId="15A153D8">
            <w:pPr>
              <w:jc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合规</w:t>
            </w:r>
          </w:p>
        </w:tc>
      </w:tr>
      <w:tr w14:paraId="3A4F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38" w:type="dxa"/>
            <w:vMerge w:val="continue"/>
            <w:tcBorders>
              <w:tl2br w:val="nil"/>
              <w:tr2bl w:val="nil"/>
            </w:tcBorders>
            <w:vAlign w:val="center"/>
          </w:tcPr>
          <w:p w14:paraId="496A853E">
            <w:pPr>
              <w:jc w:val="center"/>
              <w:rPr>
                <w:rFonts w:ascii="宋体" w:cs="宋体"/>
                <w:sz w:val="20"/>
              </w:rPr>
            </w:pPr>
          </w:p>
        </w:tc>
        <w:tc>
          <w:tcPr>
            <w:tcW w:w="723" w:type="dxa"/>
            <w:vMerge w:val="continue"/>
            <w:tcBorders>
              <w:tl2br w:val="nil"/>
              <w:tr2bl w:val="nil"/>
            </w:tcBorders>
            <w:vAlign w:val="center"/>
          </w:tcPr>
          <w:p w14:paraId="11EEC64A">
            <w:pPr>
              <w:jc w:val="center"/>
              <w:rPr>
                <w:rFonts w:ascii="宋体" w:cs="宋体"/>
                <w:sz w:val="20"/>
              </w:rPr>
            </w:pPr>
          </w:p>
        </w:tc>
        <w:tc>
          <w:tcPr>
            <w:tcW w:w="759" w:type="dxa"/>
            <w:gridSpan w:val="2"/>
            <w:tcBorders>
              <w:tl2br w:val="nil"/>
              <w:tr2bl w:val="nil"/>
            </w:tcBorders>
            <w:vAlign w:val="center"/>
          </w:tcPr>
          <w:p w14:paraId="7B7EA4B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2BF9E7CA">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经费支出时效性</w:t>
            </w:r>
          </w:p>
        </w:tc>
        <w:tc>
          <w:tcPr>
            <w:tcW w:w="4228" w:type="dxa"/>
            <w:gridSpan w:val="2"/>
            <w:tcBorders>
              <w:tl2br w:val="nil"/>
              <w:tr2bl w:val="nil"/>
            </w:tcBorders>
            <w:vAlign w:val="center"/>
          </w:tcPr>
          <w:p w14:paraId="2DB2730D">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按时完成</w:t>
            </w:r>
          </w:p>
        </w:tc>
      </w:tr>
      <w:tr w14:paraId="2CBD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8" w:type="dxa"/>
            <w:vMerge w:val="continue"/>
            <w:tcBorders>
              <w:tl2br w:val="nil"/>
              <w:tr2bl w:val="nil"/>
            </w:tcBorders>
            <w:vAlign w:val="center"/>
          </w:tcPr>
          <w:p w14:paraId="749AF377">
            <w:pPr>
              <w:jc w:val="center"/>
              <w:rPr>
                <w:rFonts w:ascii="宋体" w:cs="宋体"/>
                <w:sz w:val="20"/>
              </w:rPr>
            </w:pPr>
          </w:p>
        </w:tc>
        <w:tc>
          <w:tcPr>
            <w:tcW w:w="723" w:type="dxa"/>
            <w:vMerge w:val="continue"/>
            <w:tcBorders>
              <w:tl2br w:val="nil"/>
              <w:tr2bl w:val="nil"/>
            </w:tcBorders>
            <w:vAlign w:val="center"/>
          </w:tcPr>
          <w:p w14:paraId="56C8A621">
            <w:pPr>
              <w:jc w:val="center"/>
              <w:rPr>
                <w:rFonts w:ascii="宋体" w:cs="宋体"/>
                <w:sz w:val="20"/>
              </w:rPr>
            </w:pPr>
          </w:p>
        </w:tc>
        <w:tc>
          <w:tcPr>
            <w:tcW w:w="759" w:type="dxa"/>
            <w:gridSpan w:val="2"/>
            <w:tcBorders>
              <w:tl2br w:val="nil"/>
              <w:tr2bl w:val="nil"/>
            </w:tcBorders>
            <w:vAlign w:val="center"/>
          </w:tcPr>
          <w:p w14:paraId="71C7E39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787E7E53">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节约成本</w:t>
            </w:r>
          </w:p>
        </w:tc>
        <w:tc>
          <w:tcPr>
            <w:tcW w:w="4228" w:type="dxa"/>
            <w:gridSpan w:val="2"/>
            <w:tcBorders>
              <w:tl2br w:val="nil"/>
              <w:tr2bl w:val="nil"/>
            </w:tcBorders>
            <w:vAlign w:val="center"/>
          </w:tcPr>
          <w:p w14:paraId="6DD96192">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≤3084.55万元</w:t>
            </w:r>
          </w:p>
        </w:tc>
      </w:tr>
      <w:tr w14:paraId="09D5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F0BE57A">
            <w:pPr>
              <w:jc w:val="center"/>
              <w:rPr>
                <w:rFonts w:ascii="宋体" w:cs="宋体"/>
                <w:sz w:val="20"/>
              </w:rPr>
            </w:pPr>
          </w:p>
        </w:tc>
        <w:tc>
          <w:tcPr>
            <w:tcW w:w="723" w:type="dxa"/>
            <w:vMerge w:val="restart"/>
            <w:tcBorders>
              <w:tl2br w:val="nil"/>
              <w:tr2bl w:val="nil"/>
            </w:tcBorders>
            <w:vAlign w:val="center"/>
          </w:tcPr>
          <w:p w14:paraId="718F2D56">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5AA6A1B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3B1BDC43">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对减少财政投资成本的改善程度</w:t>
            </w:r>
          </w:p>
        </w:tc>
        <w:tc>
          <w:tcPr>
            <w:tcW w:w="4228" w:type="dxa"/>
            <w:gridSpan w:val="2"/>
            <w:tcBorders>
              <w:tl2br w:val="nil"/>
              <w:tr2bl w:val="nil"/>
            </w:tcBorders>
            <w:vAlign w:val="center"/>
          </w:tcPr>
          <w:p w14:paraId="269D2FB5">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发挥积极作用</w:t>
            </w:r>
          </w:p>
        </w:tc>
      </w:tr>
      <w:tr w14:paraId="08A4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D015C55">
            <w:pPr>
              <w:jc w:val="center"/>
              <w:rPr>
                <w:rFonts w:ascii="宋体" w:cs="宋体"/>
                <w:sz w:val="20"/>
              </w:rPr>
            </w:pPr>
          </w:p>
        </w:tc>
        <w:tc>
          <w:tcPr>
            <w:tcW w:w="723" w:type="dxa"/>
            <w:vMerge w:val="continue"/>
            <w:tcBorders>
              <w:tl2br w:val="nil"/>
              <w:tr2bl w:val="nil"/>
            </w:tcBorders>
            <w:vAlign w:val="center"/>
          </w:tcPr>
          <w:p w14:paraId="03F762B0">
            <w:pPr>
              <w:jc w:val="center"/>
              <w:rPr>
                <w:rFonts w:ascii="宋体" w:cs="宋体"/>
                <w:sz w:val="20"/>
              </w:rPr>
            </w:pPr>
          </w:p>
        </w:tc>
        <w:tc>
          <w:tcPr>
            <w:tcW w:w="759" w:type="dxa"/>
            <w:gridSpan w:val="2"/>
            <w:tcBorders>
              <w:tl2br w:val="nil"/>
              <w:tr2bl w:val="nil"/>
            </w:tcBorders>
            <w:vAlign w:val="center"/>
          </w:tcPr>
          <w:p w14:paraId="00FC5AF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4643F124">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对单位履职、促进事业发展的影响或提升程度</w:t>
            </w:r>
          </w:p>
        </w:tc>
        <w:tc>
          <w:tcPr>
            <w:tcW w:w="4228" w:type="dxa"/>
            <w:gridSpan w:val="2"/>
            <w:tcBorders>
              <w:tl2br w:val="nil"/>
              <w:tr2bl w:val="nil"/>
            </w:tcBorders>
            <w:vAlign w:val="center"/>
          </w:tcPr>
          <w:p w14:paraId="79A01556">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发挥积极作用</w:t>
            </w:r>
          </w:p>
        </w:tc>
      </w:tr>
      <w:tr w14:paraId="430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587CF83">
            <w:pPr>
              <w:jc w:val="center"/>
              <w:rPr>
                <w:rFonts w:ascii="宋体" w:cs="宋体"/>
                <w:sz w:val="20"/>
              </w:rPr>
            </w:pPr>
          </w:p>
        </w:tc>
        <w:tc>
          <w:tcPr>
            <w:tcW w:w="723" w:type="dxa"/>
            <w:vMerge w:val="continue"/>
            <w:tcBorders>
              <w:tl2br w:val="nil"/>
              <w:tr2bl w:val="nil"/>
            </w:tcBorders>
            <w:vAlign w:val="center"/>
          </w:tcPr>
          <w:p w14:paraId="173E71BA">
            <w:pPr>
              <w:jc w:val="center"/>
              <w:rPr>
                <w:rFonts w:ascii="宋体" w:cs="宋体"/>
                <w:sz w:val="20"/>
              </w:rPr>
            </w:pPr>
          </w:p>
        </w:tc>
        <w:tc>
          <w:tcPr>
            <w:tcW w:w="759" w:type="dxa"/>
            <w:gridSpan w:val="2"/>
            <w:tcBorders>
              <w:tl2br w:val="nil"/>
              <w:tr2bl w:val="nil"/>
            </w:tcBorders>
            <w:vAlign w:val="center"/>
          </w:tcPr>
          <w:p w14:paraId="4A59994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375A5448">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采用节能环保建筑材料，倡导绿色健康环保理念</w:t>
            </w:r>
          </w:p>
        </w:tc>
        <w:tc>
          <w:tcPr>
            <w:tcW w:w="4228" w:type="dxa"/>
            <w:gridSpan w:val="2"/>
            <w:tcBorders>
              <w:tl2br w:val="nil"/>
              <w:tr2bl w:val="nil"/>
            </w:tcBorders>
            <w:vAlign w:val="center"/>
          </w:tcPr>
          <w:p w14:paraId="6761CC95">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发挥积极作用</w:t>
            </w:r>
          </w:p>
        </w:tc>
      </w:tr>
      <w:tr w14:paraId="5BB1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11616001">
            <w:pPr>
              <w:jc w:val="center"/>
              <w:rPr>
                <w:rFonts w:ascii="宋体" w:cs="宋体"/>
                <w:sz w:val="20"/>
              </w:rPr>
            </w:pPr>
          </w:p>
        </w:tc>
        <w:tc>
          <w:tcPr>
            <w:tcW w:w="723" w:type="dxa"/>
            <w:vMerge w:val="continue"/>
            <w:tcBorders>
              <w:tl2br w:val="nil"/>
              <w:tr2bl w:val="nil"/>
            </w:tcBorders>
            <w:vAlign w:val="center"/>
          </w:tcPr>
          <w:p w14:paraId="0543E160">
            <w:pPr>
              <w:jc w:val="center"/>
              <w:rPr>
                <w:rFonts w:ascii="宋体" w:cs="宋体"/>
                <w:sz w:val="20"/>
              </w:rPr>
            </w:pPr>
          </w:p>
        </w:tc>
        <w:tc>
          <w:tcPr>
            <w:tcW w:w="759" w:type="dxa"/>
            <w:gridSpan w:val="2"/>
            <w:tcBorders>
              <w:tl2br w:val="nil"/>
              <w:tr2bl w:val="nil"/>
            </w:tcBorders>
            <w:vAlign w:val="center"/>
          </w:tcPr>
          <w:p w14:paraId="7CEF2F4D">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49468603">
            <w:pPr>
              <w:widowControl/>
              <w:jc w:val="left"/>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对保障机构持续稳定运转、持续发挥职能的改善或提升程度</w:t>
            </w:r>
          </w:p>
        </w:tc>
        <w:tc>
          <w:tcPr>
            <w:tcW w:w="4228" w:type="dxa"/>
            <w:gridSpan w:val="2"/>
            <w:tcBorders>
              <w:tl2br w:val="nil"/>
              <w:tr2bl w:val="nil"/>
            </w:tcBorders>
            <w:vAlign w:val="center"/>
          </w:tcPr>
          <w:p w14:paraId="7E5E47AC">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发挥积极作用</w:t>
            </w:r>
          </w:p>
        </w:tc>
      </w:tr>
      <w:tr w14:paraId="0AEA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8" w:type="dxa"/>
            <w:vMerge w:val="continue"/>
            <w:tcBorders>
              <w:tl2br w:val="nil"/>
              <w:tr2bl w:val="nil"/>
            </w:tcBorders>
            <w:vAlign w:val="center"/>
          </w:tcPr>
          <w:p w14:paraId="070B316A">
            <w:pPr>
              <w:jc w:val="center"/>
              <w:rPr>
                <w:rFonts w:ascii="宋体" w:cs="宋体"/>
                <w:sz w:val="20"/>
              </w:rPr>
            </w:pPr>
          </w:p>
        </w:tc>
        <w:tc>
          <w:tcPr>
            <w:tcW w:w="723" w:type="dxa"/>
            <w:tcBorders>
              <w:tl2br w:val="nil"/>
              <w:tr2bl w:val="nil"/>
            </w:tcBorders>
            <w:vAlign w:val="center"/>
          </w:tcPr>
          <w:p w14:paraId="6CCF3D75">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22D23F5A">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049D7388">
            <w:pPr>
              <w:widowControl/>
              <w:jc w:val="left"/>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用车满意度</w:t>
            </w:r>
          </w:p>
        </w:tc>
        <w:tc>
          <w:tcPr>
            <w:tcW w:w="4228" w:type="dxa"/>
            <w:gridSpan w:val="2"/>
            <w:tcBorders>
              <w:tl2br w:val="nil"/>
              <w:tr2bl w:val="nil"/>
            </w:tcBorders>
            <w:vAlign w:val="center"/>
          </w:tcPr>
          <w:p w14:paraId="08F0AE6B">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≥95%</w:t>
            </w:r>
          </w:p>
        </w:tc>
      </w:tr>
    </w:tbl>
    <w:p w14:paraId="7151B735">
      <w:pPr>
        <w:pStyle w:val="2"/>
        <w:rPr>
          <w:rFonts w:hint="eastAsia"/>
          <w:lang w:eastAsia="zh-CN"/>
        </w:rPr>
      </w:pPr>
    </w:p>
    <w:p w14:paraId="608EF310">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354E19E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烈山区机关事务管理中心</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年机关运行经费财政拨款预算</w:t>
      </w:r>
      <w:r>
        <w:rPr>
          <w:rFonts w:hint="eastAsia" w:ascii="TimesNewRoman" w:hAnsi="TimesNewRoman" w:eastAsia="仿宋_GB2312" w:cs="TimesNewRoman"/>
          <w:kern w:val="0"/>
          <w:sz w:val="32"/>
          <w:szCs w:val="32"/>
          <w:lang w:val="en-US" w:eastAsia="zh-CN"/>
        </w:rPr>
        <w:t>29.03</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4.67</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16.09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单位人员增加</w:t>
      </w:r>
      <w:r>
        <w:rPr>
          <w:rFonts w:hint="eastAsia" w:ascii="TimesNewRoman" w:hAnsi="TimesNewRoman" w:eastAsia="仿宋_GB2312" w:cs="TimesNewRoman"/>
          <w:kern w:val="0"/>
          <w:sz w:val="32"/>
          <w:szCs w:val="32"/>
        </w:rPr>
        <w:t>。</w:t>
      </w:r>
    </w:p>
    <w:p w14:paraId="084BFCFA">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50A27C9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烈山区机关事务管理中心</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年政府采购预算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64C00E03">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295B2B2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年12月31日，淮北市</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烈山区机关事务管理中心</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42</w:t>
      </w:r>
      <w:r>
        <w:rPr>
          <w:rFonts w:hint="eastAsia" w:ascii="TimesNewRoman" w:hAnsi="TimesNewRoman" w:eastAsia="仿宋_GB2312" w:cs="TimesNewRoman"/>
          <w:kern w:val="0"/>
          <w:sz w:val="32"/>
          <w:szCs w:val="32"/>
        </w:rPr>
        <w:t>辆，其中：其他用车</w:t>
      </w:r>
      <w:r>
        <w:rPr>
          <w:rFonts w:hint="eastAsia" w:ascii="TimesNewRoman" w:hAnsi="TimesNewRoman" w:eastAsia="仿宋_GB2312" w:cs="TimesNewRoman"/>
          <w:kern w:val="0"/>
          <w:sz w:val="32"/>
          <w:szCs w:val="32"/>
          <w:lang w:val="en-US" w:eastAsia="zh-CN"/>
        </w:rPr>
        <w:t>42</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6049F85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年单位预算安排购置公务用车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287DD034">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4D0DDFF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年，淮北市</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烈山区机关事务管理中心</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2348.32</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7749436E">
      <w:pPr>
        <w:pStyle w:val="5"/>
        <w:adjustRightInd w:val="0"/>
        <w:snapToGrid w:val="0"/>
        <w:spacing w:line="560" w:lineRule="exact"/>
        <w:jc w:val="center"/>
        <w:rPr>
          <w:rFonts w:ascii="TimesNewRoman" w:hAnsi="TimesNewRoman" w:eastAsia="黑体" w:cs="TimesNewRoman"/>
          <w:bCs/>
          <w:sz w:val="36"/>
          <w:szCs w:val="36"/>
        </w:rPr>
      </w:pPr>
    </w:p>
    <w:p w14:paraId="4573D957">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45DB1522"/>
    <w:p w14:paraId="456CE1F9">
      <w:pPr>
        <w:pStyle w:val="5"/>
        <w:numPr>
          <w:ilvl w:val="0"/>
          <w:numId w:val="1"/>
        </w:numPr>
        <w:adjustRightInd w:val="0"/>
        <w:snapToGrid w:val="0"/>
        <w:spacing w:line="560" w:lineRule="exact"/>
        <w:ind w:firstLine="630" w:firstLineChars="196"/>
        <w:rPr>
          <w:rFonts w:hint="eastAsia" w:ascii="TimesNewRoman" w:hAnsi="TimesNewRoman" w:eastAsia="仿宋_GB2312" w:cs="TimesNewRoman"/>
          <w:sz w:val="32"/>
          <w:szCs w:val="32"/>
        </w:rPr>
      </w:pPr>
      <w:r>
        <w:rPr>
          <w:rFonts w:hint="eastAsia" w:ascii="TimesNewRoman" w:hAnsi="TimesNewRoman" w:eastAsia="仿宋_GB2312" w:cs="TimesNewRoman"/>
          <w:b/>
          <w:sz w:val="32"/>
          <w:szCs w:val="32"/>
        </w:rPr>
        <w:t>财政拨款收入：</w:t>
      </w:r>
      <w:r>
        <w:rPr>
          <w:rFonts w:hint="eastAsia" w:ascii="TimesNewRoman" w:hAnsi="TimesNewRoman" w:eastAsia="仿宋_GB2312" w:cs="TimesNewRoman"/>
          <w:sz w:val="32"/>
          <w:szCs w:val="32"/>
        </w:rPr>
        <w:t>指部门或单位从同级财政部门取得的财政预算资金。</w:t>
      </w:r>
    </w:p>
    <w:p w14:paraId="4454B309">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lang w:eastAsia="zh-CN"/>
        </w:rPr>
        <w:t>二</w:t>
      </w:r>
      <w:r>
        <w:rPr>
          <w:rFonts w:hint="eastAsia" w:ascii="TimesNewRoman" w:hAnsi="TimesNewRoman" w:eastAsia="仿宋_GB2312" w:cs="TimesNewRoman"/>
          <w:b/>
          <w:sz w:val="32"/>
          <w:szCs w:val="32"/>
        </w:rPr>
        <w:t>、上年结转：</w:t>
      </w:r>
      <w:r>
        <w:rPr>
          <w:rFonts w:hint="eastAsia" w:ascii="TimesNewRoman" w:hAnsi="TimesNewRoman" w:eastAsia="仿宋_GB2312" w:cs="TimesNewRoman"/>
          <w:sz w:val="32"/>
          <w:szCs w:val="32"/>
        </w:rPr>
        <w:t>指以前年度安排、结转到本年仍按原用途继续使用的资金。</w:t>
      </w:r>
    </w:p>
    <w:p w14:paraId="058B0353">
      <w:pPr>
        <w:pStyle w:val="5"/>
        <w:adjustRightInd w:val="0"/>
        <w:snapToGrid w:val="0"/>
        <w:spacing w:line="560" w:lineRule="exact"/>
        <w:ind w:firstLine="630" w:firstLineChars="196"/>
        <w:rPr>
          <w:rFonts w:hint="eastAsia" w:ascii="TimesNewRoman" w:hAnsi="TimesNewRoman" w:eastAsia="仿宋_GB2312" w:cs="TimesNewRoman"/>
          <w:sz w:val="32"/>
          <w:szCs w:val="32"/>
        </w:rPr>
      </w:pPr>
      <w:r>
        <w:rPr>
          <w:rFonts w:hint="eastAsia" w:ascii="TimesNewRoman" w:hAnsi="TimesNewRoman" w:eastAsia="仿宋_GB2312" w:cs="TimesNewRoman"/>
          <w:b/>
          <w:sz w:val="32"/>
          <w:szCs w:val="32"/>
          <w:lang w:eastAsia="zh-CN"/>
        </w:rPr>
        <w:t>三</w:t>
      </w:r>
      <w:r>
        <w:rPr>
          <w:rFonts w:hint="eastAsia" w:ascii="TimesNewRoman" w:hAnsi="TimesNewRoman" w:eastAsia="仿宋_GB2312" w:cs="TimesNewRoman"/>
          <w:b/>
          <w:sz w:val="32"/>
          <w:szCs w:val="32"/>
        </w:rPr>
        <w:t>、结转下年：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5F3462D5">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lang w:eastAsia="zh-CN"/>
        </w:rPr>
        <w:t>四</w:t>
      </w:r>
      <w:r>
        <w:rPr>
          <w:rFonts w:hint="eastAsia" w:ascii="TimesNewRoman" w:hAnsi="TimesNewRoman" w:eastAsia="仿宋_GB2312" w:cs="TimesNewRoman"/>
          <w:b/>
          <w:sz w:val="32"/>
          <w:szCs w:val="32"/>
        </w:rPr>
        <w:t>、基本支出：</w:t>
      </w:r>
      <w:r>
        <w:rPr>
          <w:rFonts w:hint="eastAsia" w:ascii="TimesNewRoman" w:hAnsi="TimesNewRoman" w:eastAsia="仿宋_GB2312" w:cs="TimesNewRoman"/>
          <w:sz w:val="32"/>
          <w:szCs w:val="32"/>
        </w:rPr>
        <w:t>指为保障机构正常运转、完成日常工作任务而发生的人员支出和公用支出。</w:t>
      </w:r>
    </w:p>
    <w:p w14:paraId="7DDCEBB6">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lang w:eastAsia="zh-CN"/>
        </w:rPr>
        <w:t>五</w:t>
      </w:r>
      <w:r>
        <w:rPr>
          <w:rFonts w:hint="eastAsia" w:ascii="TimesNewRoman" w:hAnsi="TimesNewRoman" w:eastAsia="仿宋_GB2312" w:cs="TimesNewRoman"/>
          <w:b/>
          <w:sz w:val="32"/>
          <w:szCs w:val="32"/>
        </w:rPr>
        <w:t>、项目支出：</w:t>
      </w:r>
      <w:r>
        <w:rPr>
          <w:rFonts w:hint="eastAsia" w:ascii="TimesNewRoman" w:hAnsi="TimesNewRoman" w:eastAsia="仿宋_GB2312" w:cs="TimesNewRoman"/>
          <w:sz w:val="32"/>
          <w:szCs w:val="32"/>
        </w:rPr>
        <w:t>指在除基本支出之外的支出，主要用于完成特定的工作任务和事业发展目标。</w:t>
      </w:r>
    </w:p>
    <w:p w14:paraId="2F55BFBE">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lang w:eastAsia="zh-CN"/>
        </w:rPr>
        <w:t>六</w:t>
      </w:r>
      <w:r>
        <w:rPr>
          <w:rFonts w:hint="eastAsia" w:ascii="TimesNewRoman" w:hAnsi="TimesNewRoman" w:eastAsia="仿宋_GB2312" w:cs="TimesNewRoman"/>
          <w:b/>
          <w:sz w:val="32"/>
          <w:szCs w:val="32"/>
        </w:rPr>
        <w:t xml:space="preserve">、机关运行经费: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25B0AA6"/>
    <w:p w14:paraId="760D7C0E"/>
    <w:p w14:paraId="71FC246D"/>
    <w:p w14:paraId="559E6CB2"/>
    <w:p w14:paraId="0263FB50"/>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89FEF"/>
    <w:multiLevelType w:val="singleLevel"/>
    <w:tmpl w:val="A0A89F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1273743A"/>
    <w:rsid w:val="1C56155A"/>
    <w:rsid w:val="1EC519B8"/>
    <w:rsid w:val="21304B74"/>
    <w:rsid w:val="22CF69FB"/>
    <w:rsid w:val="242F4080"/>
    <w:rsid w:val="26207EE9"/>
    <w:rsid w:val="285F75E9"/>
    <w:rsid w:val="2CF24897"/>
    <w:rsid w:val="414A44E6"/>
    <w:rsid w:val="43D674C7"/>
    <w:rsid w:val="5A8F7C9F"/>
    <w:rsid w:val="7120274E"/>
    <w:rsid w:val="764171B8"/>
    <w:rsid w:val="7A3D52E2"/>
    <w:rsid w:val="7FDE7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1251</Words>
  <Characters>1355</Characters>
  <Lines>46</Lines>
  <Paragraphs>13</Paragraphs>
  <TotalTime>0</TotalTime>
  <ScaleCrop>false</ScaleCrop>
  <LinksUpToDate>false</LinksUpToDate>
  <CharactersWithSpaces>1367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云妮洛普</cp:lastModifiedBy>
  <dcterms:modified xsi:type="dcterms:W3CDTF">2025-12-17T06:46:14Z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eyJoZGlkIjoiOTg3YTljNGZlZjYxZDQ0YmNjMWEzZWJjYTViZDg3YWYiLCJ1c2VySWQiOiIzMjU2NzIxNDgifQ==</vt:lpwstr>
  </property>
  <property fmtid="{D5CDD505-2E9C-101B-9397-08002B2CF9AE}" pid="3" name="KSOProductBuildVer">
    <vt:lpwstr>2052-12.1.0.24034</vt:lpwstr>
  </property>
  <property fmtid="{D5CDD505-2E9C-101B-9397-08002B2CF9AE}" pid="4" name="ICV">
    <vt:lpwstr>92DBA82AFAC345F6B011932C965340A3_12</vt:lpwstr>
  </property>
</Properties>
</file>