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7EBE8">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kern w:val="36"/>
          <w:sz w:val="44"/>
          <w:szCs w:val="44"/>
          <w:lang w:val="en-US" w:eastAsia="zh-CN"/>
        </w:rPr>
      </w:pPr>
      <w:r>
        <w:rPr>
          <w:rFonts w:hint="eastAsia" w:ascii="仿宋_GB2312" w:hAnsi="仿宋_GB2312" w:eastAsia="仿宋_GB2312" w:cs="仿宋_GB2312"/>
          <w:kern w:val="36"/>
          <w:sz w:val="44"/>
          <w:szCs w:val="44"/>
        </w:rPr>
        <w:t>《</w:t>
      </w:r>
      <w:r>
        <w:rPr>
          <w:rFonts w:hint="eastAsia" w:ascii="方正小标宋简体" w:hAnsi="方正小标宋简体" w:eastAsia="方正小标宋简体" w:cs="方正小标宋简体"/>
          <w:kern w:val="36"/>
          <w:sz w:val="44"/>
          <w:szCs w:val="44"/>
        </w:rPr>
        <w:t>烈山区</w:t>
      </w:r>
      <w:r>
        <w:rPr>
          <w:rFonts w:hint="eastAsia" w:ascii="方正小标宋简体" w:hAnsi="方正小标宋简体" w:eastAsia="方正小标宋简体" w:cs="方正小标宋简体"/>
          <w:kern w:val="36"/>
          <w:sz w:val="44"/>
          <w:szCs w:val="44"/>
          <w:lang w:val="en-US" w:eastAsia="zh-CN"/>
        </w:rPr>
        <w:t>危险化学品</w:t>
      </w:r>
      <w:r>
        <w:rPr>
          <w:rFonts w:hint="eastAsia" w:ascii="方正小标宋简体" w:hAnsi="方正小标宋简体" w:eastAsia="方正小标宋简体" w:cs="方正小标宋简体"/>
          <w:kern w:val="36"/>
          <w:sz w:val="44"/>
          <w:szCs w:val="44"/>
        </w:rPr>
        <w:t>生产安全事故应急预案</w:t>
      </w:r>
      <w:r>
        <w:rPr>
          <w:rFonts w:hint="eastAsia" w:ascii="仿宋_GB2312" w:hAnsi="仿宋_GB2312" w:eastAsia="仿宋_GB2312" w:cs="仿宋_GB2312"/>
          <w:kern w:val="36"/>
          <w:sz w:val="44"/>
          <w:szCs w:val="44"/>
          <w:lang w:val="en-US" w:eastAsia="zh-CN"/>
        </w:rPr>
        <w:t>》</w:t>
      </w:r>
      <w:r>
        <w:rPr>
          <w:rFonts w:hint="eastAsia" w:ascii="方正小标宋简体" w:hAnsi="方正小标宋简体" w:eastAsia="方正小标宋简体" w:cs="方正小标宋简体"/>
          <w:kern w:val="36"/>
          <w:sz w:val="44"/>
          <w:szCs w:val="44"/>
          <w:lang w:eastAsia="zh-CN"/>
        </w:rPr>
        <w:t>（</w:t>
      </w:r>
      <w:r>
        <w:rPr>
          <w:rFonts w:hint="eastAsia" w:ascii="方正小标宋简体" w:hAnsi="方正小标宋简体" w:eastAsia="方正小标宋简体" w:cs="方正小标宋简体"/>
          <w:kern w:val="36"/>
          <w:sz w:val="44"/>
          <w:szCs w:val="44"/>
          <w:lang w:val="en-US" w:eastAsia="zh-CN"/>
        </w:rPr>
        <w:t>征求意见稿）</w:t>
      </w:r>
    </w:p>
    <w:p w14:paraId="2BD7507B">
      <w:pPr>
        <w:spacing w:line="560" w:lineRule="exact"/>
        <w:rPr>
          <w:rFonts w:hint="eastAsia" w:ascii="仿宋_GB2312" w:hAnsi="仿宋_GB2312" w:eastAsia="仿宋_GB2312" w:cs="仿宋_GB2312"/>
          <w:bCs/>
          <w:sz w:val="32"/>
          <w:szCs w:val="32"/>
        </w:rPr>
      </w:pPr>
    </w:p>
    <w:sdt>
      <w:sdtPr>
        <w:rPr>
          <w:rFonts w:ascii="Times New Roman" w:hAnsi="Times New Roman" w:eastAsia="仿宋_GB2312" w:cs="Times New Roman"/>
          <w:kern w:val="2"/>
          <w:sz w:val="32"/>
          <w:szCs w:val="32"/>
          <w:lang w:val="en-US" w:eastAsia="zh-CN" w:bidi="ar-SA"/>
        </w:rPr>
        <w:id w:val="147470036"/>
        <w15:color w:val="DBDBDB"/>
        <w:docPartObj>
          <w:docPartGallery w:val="Table of Contents"/>
          <w:docPartUnique/>
        </w:docPartObj>
      </w:sdtPr>
      <w:sdtEndPr>
        <w:rPr>
          <w:rFonts w:hint="eastAsia" w:ascii="仿宋_GB2312" w:hAnsi="微软雅黑" w:eastAsia="仿宋_GB2312" w:cs="华文中宋"/>
          <w:b/>
          <w:kern w:val="2"/>
          <w:sz w:val="32"/>
          <w:szCs w:val="20"/>
          <w:lang w:val="en-US" w:eastAsia="zh-CN" w:bidi="ar-SA"/>
        </w:rPr>
      </w:sdtEndPr>
      <w:sdtContent>
        <w:p w14:paraId="4FA5B7F3">
          <w:pPr>
            <w:spacing w:before="0" w:beforeLines="0" w:after="0" w:afterLines="0" w:line="240" w:lineRule="auto"/>
            <w:ind w:left="0" w:leftChars="0" w:right="0" w:rightChars="0" w:firstLine="0" w:firstLineChars="0"/>
            <w:jc w:val="center"/>
            <w:rPr>
              <w:rFonts w:ascii="Times New Roman" w:hAnsi="Times New Roman" w:eastAsia="仿宋_GB2312" w:cs="Times New Roman"/>
              <w:kern w:val="2"/>
              <w:sz w:val="32"/>
              <w:szCs w:val="32"/>
              <w:lang w:val="en-US" w:eastAsia="zh-CN" w:bidi="ar-SA"/>
            </w:rPr>
          </w:pPr>
          <w:r>
            <w:rPr>
              <w:rFonts w:ascii="Times New Roman" w:hAnsi="Times New Roman" w:eastAsia="仿宋_GB2312" w:cs="Times New Roman"/>
              <w:kern w:val="2"/>
              <w:sz w:val="32"/>
              <w:szCs w:val="32"/>
              <w:lang w:val="en-US" w:eastAsia="zh-CN" w:bidi="ar-SA"/>
            </w:rPr>
            <w:t>目录</w:t>
          </w:r>
        </w:p>
        <w:p w14:paraId="53BF4E13">
          <w:pPr>
            <w:pStyle w:val="7"/>
            <w:tabs>
              <w:tab w:val="right" w:leader="dot" w:pos="8306"/>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_Toc30372 </w:instrText>
          </w:r>
          <w:r>
            <w:rPr>
              <w:rFonts w:hint="eastAsia"/>
              <w:lang w:val="en-US" w:eastAsia="zh-CN"/>
            </w:rPr>
            <w:fldChar w:fldCharType="separate"/>
          </w:r>
          <w:r>
            <w:rPr>
              <w:rFonts w:hint="eastAsia"/>
              <w:lang w:val="en-US" w:eastAsia="zh-CN"/>
            </w:rPr>
            <w:t>一</w:t>
          </w:r>
          <w:r>
            <w:rPr>
              <w:rFonts w:hint="eastAsia"/>
              <w:lang w:eastAsia="zh-CN"/>
            </w:rPr>
            <w:t>、</w:t>
          </w:r>
          <w:r>
            <w:t>总则</w:t>
          </w:r>
          <w:r>
            <w:tab/>
          </w:r>
          <w:r>
            <w:fldChar w:fldCharType="begin"/>
          </w:r>
          <w:r>
            <w:instrText xml:space="preserve"> PAGEREF _Toc30372 \h </w:instrText>
          </w:r>
          <w:r>
            <w:fldChar w:fldCharType="separate"/>
          </w:r>
          <w:r>
            <w:t>1</w:t>
          </w:r>
          <w:r>
            <w:fldChar w:fldCharType="end"/>
          </w:r>
          <w:r>
            <w:rPr>
              <w:rFonts w:hint="eastAsia"/>
              <w:lang w:val="en-US" w:eastAsia="zh-CN"/>
            </w:rPr>
            <w:fldChar w:fldCharType="end"/>
          </w:r>
        </w:p>
        <w:p w14:paraId="13FCE752">
          <w:pPr>
            <w:pStyle w:val="9"/>
            <w:tabs>
              <w:tab w:val="right" w:leader="dot" w:pos="8306"/>
            </w:tabs>
          </w:pPr>
          <w:r>
            <w:rPr>
              <w:rFonts w:hint="eastAsia"/>
              <w:lang w:val="en-US" w:eastAsia="zh-CN"/>
            </w:rPr>
            <w:fldChar w:fldCharType="begin"/>
          </w:r>
          <w:r>
            <w:rPr>
              <w:rFonts w:hint="eastAsia"/>
              <w:lang w:val="en-US" w:eastAsia="zh-CN"/>
            </w:rPr>
            <w:instrText xml:space="preserve"> HYPERLINK \l _Toc20332 </w:instrText>
          </w:r>
          <w:r>
            <w:rPr>
              <w:rFonts w:hint="eastAsia"/>
              <w:lang w:val="en-US" w:eastAsia="zh-CN"/>
            </w:rPr>
            <w:fldChar w:fldCharType="separate"/>
          </w:r>
          <w:r>
            <w:rPr>
              <w:bCs w:val="0"/>
            </w:rPr>
            <w:t>1.1编制目的</w:t>
          </w:r>
          <w:r>
            <w:tab/>
          </w:r>
          <w:r>
            <w:fldChar w:fldCharType="begin"/>
          </w:r>
          <w:r>
            <w:instrText xml:space="preserve"> PAGEREF _Toc20332 \h </w:instrText>
          </w:r>
          <w:r>
            <w:fldChar w:fldCharType="separate"/>
          </w:r>
          <w:r>
            <w:t>1</w:t>
          </w:r>
          <w:r>
            <w:fldChar w:fldCharType="end"/>
          </w:r>
          <w:r>
            <w:rPr>
              <w:rFonts w:hint="eastAsia"/>
              <w:lang w:val="en-US" w:eastAsia="zh-CN"/>
            </w:rPr>
            <w:fldChar w:fldCharType="end"/>
          </w:r>
        </w:p>
        <w:p w14:paraId="76E023D1">
          <w:pPr>
            <w:pStyle w:val="9"/>
            <w:tabs>
              <w:tab w:val="right" w:leader="dot" w:pos="8306"/>
            </w:tabs>
          </w:pPr>
          <w:r>
            <w:rPr>
              <w:rFonts w:hint="eastAsia"/>
              <w:lang w:val="en-US" w:eastAsia="zh-CN"/>
            </w:rPr>
            <w:fldChar w:fldCharType="begin"/>
          </w:r>
          <w:r>
            <w:rPr>
              <w:rFonts w:hint="eastAsia"/>
              <w:lang w:val="en-US" w:eastAsia="zh-CN"/>
            </w:rPr>
            <w:instrText xml:space="preserve"> HYPERLINK \l _Toc2206 </w:instrText>
          </w:r>
          <w:r>
            <w:rPr>
              <w:rFonts w:hint="eastAsia"/>
              <w:lang w:val="en-US" w:eastAsia="zh-CN"/>
            </w:rPr>
            <w:fldChar w:fldCharType="separate"/>
          </w:r>
          <w:r>
            <w:rPr>
              <w:bCs w:val="0"/>
            </w:rPr>
            <w:t>1.2编制依据</w:t>
          </w:r>
          <w:r>
            <w:tab/>
          </w:r>
          <w:r>
            <w:fldChar w:fldCharType="begin"/>
          </w:r>
          <w:r>
            <w:instrText xml:space="preserve"> PAGEREF _Toc2206 \h </w:instrText>
          </w:r>
          <w:r>
            <w:fldChar w:fldCharType="separate"/>
          </w:r>
          <w:r>
            <w:t>1</w:t>
          </w:r>
          <w:r>
            <w:fldChar w:fldCharType="end"/>
          </w:r>
          <w:r>
            <w:rPr>
              <w:rFonts w:hint="eastAsia"/>
              <w:lang w:val="en-US" w:eastAsia="zh-CN"/>
            </w:rPr>
            <w:fldChar w:fldCharType="end"/>
          </w:r>
        </w:p>
        <w:p w14:paraId="6226BA5B">
          <w:pPr>
            <w:pStyle w:val="9"/>
            <w:tabs>
              <w:tab w:val="right" w:leader="dot" w:pos="8306"/>
            </w:tabs>
          </w:pPr>
          <w:r>
            <w:rPr>
              <w:rFonts w:hint="eastAsia"/>
              <w:lang w:val="en-US" w:eastAsia="zh-CN"/>
            </w:rPr>
            <w:fldChar w:fldCharType="begin"/>
          </w:r>
          <w:r>
            <w:rPr>
              <w:rFonts w:hint="eastAsia"/>
              <w:lang w:val="en-US" w:eastAsia="zh-CN"/>
            </w:rPr>
            <w:instrText xml:space="preserve"> HYPERLINK \l _Toc13596 </w:instrText>
          </w:r>
          <w:r>
            <w:rPr>
              <w:rFonts w:hint="eastAsia"/>
              <w:lang w:val="en-US" w:eastAsia="zh-CN"/>
            </w:rPr>
            <w:fldChar w:fldCharType="separate"/>
          </w:r>
          <w:r>
            <w:rPr>
              <w:bCs w:val="0"/>
            </w:rPr>
            <w:t>1.3</w:t>
          </w:r>
          <w:r>
            <w:rPr>
              <w:rFonts w:hint="eastAsia"/>
              <w:bCs w:val="0"/>
              <w:lang w:val="en-US" w:eastAsia="zh-CN"/>
            </w:rPr>
            <w:t>事故分类分级</w:t>
          </w:r>
          <w:r>
            <w:tab/>
          </w:r>
          <w:r>
            <w:fldChar w:fldCharType="begin"/>
          </w:r>
          <w:r>
            <w:instrText xml:space="preserve"> PAGEREF _Toc13596 \h </w:instrText>
          </w:r>
          <w:r>
            <w:fldChar w:fldCharType="separate"/>
          </w:r>
          <w:r>
            <w:t>1</w:t>
          </w:r>
          <w:r>
            <w:fldChar w:fldCharType="end"/>
          </w:r>
          <w:r>
            <w:rPr>
              <w:rFonts w:hint="eastAsia"/>
              <w:lang w:val="en-US" w:eastAsia="zh-CN"/>
            </w:rPr>
            <w:fldChar w:fldCharType="end"/>
          </w:r>
        </w:p>
        <w:p w14:paraId="78732A74">
          <w:pPr>
            <w:pStyle w:val="9"/>
            <w:tabs>
              <w:tab w:val="right" w:leader="dot" w:pos="8306"/>
            </w:tabs>
          </w:pPr>
          <w:r>
            <w:rPr>
              <w:rFonts w:hint="eastAsia"/>
              <w:lang w:val="en-US" w:eastAsia="zh-CN"/>
            </w:rPr>
            <w:fldChar w:fldCharType="begin"/>
          </w:r>
          <w:r>
            <w:rPr>
              <w:rFonts w:hint="eastAsia"/>
              <w:lang w:val="en-US" w:eastAsia="zh-CN"/>
            </w:rPr>
            <w:instrText xml:space="preserve"> HYPERLINK \l _Toc32593 </w:instrText>
          </w:r>
          <w:r>
            <w:rPr>
              <w:rFonts w:hint="eastAsia"/>
              <w:lang w:val="en-US" w:eastAsia="zh-CN"/>
            </w:rPr>
            <w:fldChar w:fldCharType="separate"/>
          </w:r>
          <w:r>
            <w:rPr>
              <w:bCs w:val="0"/>
            </w:rPr>
            <w:t>1.</w:t>
          </w:r>
          <w:r>
            <w:rPr>
              <w:rFonts w:hint="eastAsia"/>
              <w:bCs w:val="0"/>
              <w:lang w:val="en-US" w:eastAsia="zh-CN"/>
            </w:rPr>
            <w:t>4适用范围</w:t>
          </w:r>
          <w:r>
            <w:tab/>
          </w:r>
          <w:r>
            <w:fldChar w:fldCharType="begin"/>
          </w:r>
          <w:r>
            <w:instrText xml:space="preserve"> PAGEREF _Toc32593 \h </w:instrText>
          </w:r>
          <w:r>
            <w:fldChar w:fldCharType="separate"/>
          </w:r>
          <w:r>
            <w:t>3</w:t>
          </w:r>
          <w:r>
            <w:fldChar w:fldCharType="end"/>
          </w:r>
          <w:r>
            <w:rPr>
              <w:rFonts w:hint="eastAsia"/>
              <w:lang w:val="en-US" w:eastAsia="zh-CN"/>
            </w:rPr>
            <w:fldChar w:fldCharType="end"/>
          </w:r>
        </w:p>
        <w:p w14:paraId="375EEFB0">
          <w:pPr>
            <w:pStyle w:val="9"/>
            <w:tabs>
              <w:tab w:val="right" w:leader="dot" w:pos="8306"/>
            </w:tabs>
          </w:pPr>
          <w:r>
            <w:rPr>
              <w:rFonts w:hint="eastAsia"/>
              <w:lang w:val="en-US" w:eastAsia="zh-CN"/>
            </w:rPr>
            <w:fldChar w:fldCharType="begin"/>
          </w:r>
          <w:r>
            <w:rPr>
              <w:rFonts w:hint="eastAsia"/>
              <w:lang w:val="en-US" w:eastAsia="zh-CN"/>
            </w:rPr>
            <w:instrText xml:space="preserve"> HYPERLINK \l _Toc27091 </w:instrText>
          </w:r>
          <w:r>
            <w:rPr>
              <w:rFonts w:hint="eastAsia"/>
              <w:lang w:val="en-US" w:eastAsia="zh-CN"/>
            </w:rPr>
            <w:fldChar w:fldCharType="separate"/>
          </w:r>
          <w:r>
            <w:rPr>
              <w:bCs w:val="0"/>
            </w:rPr>
            <w:t>1.</w:t>
          </w:r>
          <w:r>
            <w:rPr>
              <w:rFonts w:hint="eastAsia"/>
              <w:bCs w:val="0"/>
              <w:lang w:val="en-US" w:eastAsia="zh-CN"/>
            </w:rPr>
            <w:t>5烈山区危险化学品企业生产安全现状</w:t>
          </w:r>
          <w:r>
            <w:tab/>
          </w:r>
          <w:r>
            <w:fldChar w:fldCharType="begin"/>
          </w:r>
          <w:r>
            <w:instrText xml:space="preserve"> PAGEREF _Toc27091 \h </w:instrText>
          </w:r>
          <w:r>
            <w:fldChar w:fldCharType="separate"/>
          </w:r>
          <w:r>
            <w:t>4</w:t>
          </w:r>
          <w:r>
            <w:fldChar w:fldCharType="end"/>
          </w:r>
          <w:r>
            <w:rPr>
              <w:rFonts w:hint="eastAsia"/>
              <w:lang w:val="en-US" w:eastAsia="zh-CN"/>
            </w:rPr>
            <w:fldChar w:fldCharType="end"/>
          </w:r>
        </w:p>
        <w:p w14:paraId="2359BDBD">
          <w:pPr>
            <w:pStyle w:val="7"/>
            <w:tabs>
              <w:tab w:val="right" w:leader="dot" w:pos="8306"/>
            </w:tabs>
          </w:pPr>
          <w:r>
            <w:rPr>
              <w:rFonts w:hint="eastAsia"/>
              <w:lang w:val="en-US" w:eastAsia="zh-CN"/>
            </w:rPr>
            <w:fldChar w:fldCharType="begin"/>
          </w:r>
          <w:r>
            <w:rPr>
              <w:rFonts w:hint="eastAsia"/>
              <w:lang w:val="en-US" w:eastAsia="zh-CN"/>
            </w:rPr>
            <w:instrText xml:space="preserve"> HYPERLINK \l _Toc26206 </w:instrText>
          </w:r>
          <w:r>
            <w:rPr>
              <w:rFonts w:hint="eastAsia"/>
              <w:lang w:val="en-US" w:eastAsia="zh-CN"/>
            </w:rPr>
            <w:fldChar w:fldCharType="separate"/>
          </w:r>
          <w:r>
            <w:rPr>
              <w:rFonts w:hint="eastAsia"/>
              <w:lang w:val="en-US" w:eastAsia="zh-CN"/>
            </w:rPr>
            <w:t>二</w:t>
          </w:r>
          <w:r>
            <w:rPr>
              <w:rFonts w:hint="eastAsia"/>
              <w:lang w:eastAsia="zh-CN"/>
            </w:rPr>
            <w:t>、</w:t>
          </w:r>
          <w:r>
            <w:t>组织</w:t>
          </w:r>
          <w:r>
            <w:rPr>
              <w:rFonts w:hint="eastAsia"/>
              <w:lang w:val="en-US" w:eastAsia="zh-CN"/>
            </w:rPr>
            <w:t>机构和职责</w:t>
          </w:r>
          <w:r>
            <w:tab/>
          </w:r>
          <w:r>
            <w:fldChar w:fldCharType="begin"/>
          </w:r>
          <w:r>
            <w:instrText xml:space="preserve"> PAGEREF _Toc26206 \h </w:instrText>
          </w:r>
          <w:r>
            <w:fldChar w:fldCharType="separate"/>
          </w:r>
          <w:r>
            <w:t>4</w:t>
          </w:r>
          <w:r>
            <w:fldChar w:fldCharType="end"/>
          </w:r>
          <w:r>
            <w:rPr>
              <w:rFonts w:hint="eastAsia"/>
              <w:lang w:val="en-US" w:eastAsia="zh-CN"/>
            </w:rPr>
            <w:fldChar w:fldCharType="end"/>
          </w:r>
        </w:p>
        <w:p w14:paraId="5A904165">
          <w:pPr>
            <w:pStyle w:val="9"/>
            <w:tabs>
              <w:tab w:val="right" w:leader="dot" w:pos="8306"/>
            </w:tabs>
          </w:pPr>
          <w:r>
            <w:rPr>
              <w:rFonts w:hint="eastAsia"/>
              <w:lang w:val="en-US" w:eastAsia="zh-CN"/>
            </w:rPr>
            <w:fldChar w:fldCharType="begin"/>
          </w:r>
          <w:r>
            <w:rPr>
              <w:rFonts w:hint="eastAsia"/>
              <w:lang w:val="en-US" w:eastAsia="zh-CN"/>
            </w:rPr>
            <w:instrText xml:space="preserve"> HYPERLINK \l _Toc13878 </w:instrText>
          </w:r>
          <w:r>
            <w:rPr>
              <w:rFonts w:hint="eastAsia"/>
              <w:lang w:val="en-US" w:eastAsia="zh-CN"/>
            </w:rPr>
            <w:fldChar w:fldCharType="separate"/>
          </w:r>
          <w:r>
            <w:rPr>
              <w:rFonts w:hint="eastAsia"/>
              <w:bCs w:val="0"/>
              <w:lang w:val="en-US" w:eastAsia="zh-CN"/>
            </w:rPr>
            <w:t>2.1区应急指挥部</w:t>
          </w:r>
          <w:r>
            <w:tab/>
          </w:r>
          <w:r>
            <w:fldChar w:fldCharType="begin"/>
          </w:r>
          <w:r>
            <w:instrText xml:space="preserve"> PAGEREF _Toc13878 \h </w:instrText>
          </w:r>
          <w:r>
            <w:fldChar w:fldCharType="separate"/>
          </w:r>
          <w:r>
            <w:t>4</w:t>
          </w:r>
          <w:r>
            <w:fldChar w:fldCharType="end"/>
          </w:r>
          <w:r>
            <w:rPr>
              <w:rFonts w:hint="eastAsia"/>
              <w:lang w:val="en-US" w:eastAsia="zh-CN"/>
            </w:rPr>
            <w:fldChar w:fldCharType="end"/>
          </w:r>
        </w:p>
        <w:p w14:paraId="4313062B">
          <w:pPr>
            <w:pStyle w:val="9"/>
            <w:tabs>
              <w:tab w:val="right" w:leader="dot" w:pos="8306"/>
            </w:tabs>
          </w:pPr>
          <w:r>
            <w:rPr>
              <w:rFonts w:hint="eastAsia"/>
              <w:lang w:val="en-US" w:eastAsia="zh-CN"/>
            </w:rPr>
            <w:fldChar w:fldCharType="begin"/>
          </w:r>
          <w:r>
            <w:rPr>
              <w:rFonts w:hint="eastAsia"/>
              <w:lang w:val="en-US" w:eastAsia="zh-CN"/>
            </w:rPr>
            <w:instrText xml:space="preserve"> HYPERLINK \l _Toc18742 </w:instrText>
          </w:r>
          <w:r>
            <w:rPr>
              <w:rFonts w:hint="eastAsia"/>
              <w:lang w:val="en-US" w:eastAsia="zh-CN"/>
            </w:rPr>
            <w:fldChar w:fldCharType="separate"/>
          </w:r>
          <w:r>
            <w:rPr>
              <w:rFonts w:hint="eastAsia"/>
              <w:bCs w:val="0"/>
              <w:lang w:val="en-US" w:eastAsia="zh-CN"/>
            </w:rPr>
            <w:t>2.2区应急指挥部办公室</w:t>
          </w:r>
          <w:r>
            <w:tab/>
          </w:r>
          <w:r>
            <w:fldChar w:fldCharType="begin"/>
          </w:r>
          <w:r>
            <w:instrText xml:space="preserve"> PAGEREF _Toc18742 \h </w:instrText>
          </w:r>
          <w:r>
            <w:fldChar w:fldCharType="separate"/>
          </w:r>
          <w:r>
            <w:t>5</w:t>
          </w:r>
          <w:r>
            <w:fldChar w:fldCharType="end"/>
          </w:r>
          <w:r>
            <w:rPr>
              <w:rFonts w:hint="eastAsia"/>
              <w:lang w:val="en-US" w:eastAsia="zh-CN"/>
            </w:rPr>
            <w:fldChar w:fldCharType="end"/>
          </w:r>
        </w:p>
        <w:p w14:paraId="4353446D">
          <w:pPr>
            <w:pStyle w:val="9"/>
            <w:tabs>
              <w:tab w:val="right" w:leader="dot" w:pos="8306"/>
            </w:tabs>
          </w:pPr>
          <w:r>
            <w:rPr>
              <w:rFonts w:hint="eastAsia"/>
              <w:lang w:val="en-US" w:eastAsia="zh-CN"/>
            </w:rPr>
            <w:fldChar w:fldCharType="begin"/>
          </w:r>
          <w:r>
            <w:rPr>
              <w:rFonts w:hint="eastAsia"/>
              <w:lang w:val="en-US" w:eastAsia="zh-CN"/>
            </w:rPr>
            <w:instrText xml:space="preserve"> HYPERLINK \l _Toc20430 </w:instrText>
          </w:r>
          <w:r>
            <w:rPr>
              <w:rFonts w:hint="eastAsia"/>
              <w:lang w:val="en-US" w:eastAsia="zh-CN"/>
            </w:rPr>
            <w:fldChar w:fldCharType="separate"/>
          </w:r>
          <w:r>
            <w:rPr>
              <w:rFonts w:hint="eastAsia"/>
              <w:bCs w:val="0"/>
              <w:lang w:val="en-US" w:eastAsia="zh-CN"/>
            </w:rPr>
            <w:t>2.3应急处置小组及其职责</w:t>
          </w:r>
          <w:r>
            <w:tab/>
          </w:r>
          <w:r>
            <w:fldChar w:fldCharType="begin"/>
          </w:r>
          <w:r>
            <w:instrText xml:space="preserve"> PAGEREF _Toc20430 \h </w:instrText>
          </w:r>
          <w:r>
            <w:fldChar w:fldCharType="separate"/>
          </w:r>
          <w:r>
            <w:t>6</w:t>
          </w:r>
          <w:r>
            <w:fldChar w:fldCharType="end"/>
          </w:r>
          <w:r>
            <w:rPr>
              <w:rFonts w:hint="eastAsia"/>
              <w:lang w:val="en-US" w:eastAsia="zh-CN"/>
            </w:rPr>
            <w:fldChar w:fldCharType="end"/>
          </w:r>
        </w:p>
        <w:p w14:paraId="5D19B2F3">
          <w:pPr>
            <w:pStyle w:val="9"/>
            <w:tabs>
              <w:tab w:val="right" w:leader="dot" w:pos="8306"/>
            </w:tabs>
          </w:pPr>
          <w:r>
            <w:rPr>
              <w:rFonts w:hint="eastAsia"/>
              <w:lang w:val="en-US" w:eastAsia="zh-CN"/>
            </w:rPr>
            <w:fldChar w:fldCharType="begin"/>
          </w:r>
          <w:r>
            <w:rPr>
              <w:rFonts w:hint="eastAsia"/>
              <w:lang w:val="en-US" w:eastAsia="zh-CN"/>
            </w:rPr>
            <w:instrText xml:space="preserve"> HYPERLINK \l _Toc26542 </w:instrText>
          </w:r>
          <w:r>
            <w:rPr>
              <w:rFonts w:hint="eastAsia"/>
              <w:lang w:val="en-US" w:eastAsia="zh-CN"/>
            </w:rPr>
            <w:fldChar w:fldCharType="separate"/>
          </w:r>
          <w:r>
            <w:rPr>
              <w:rFonts w:hint="eastAsia"/>
              <w:bCs w:val="0"/>
              <w:lang w:val="en-US" w:eastAsia="zh-CN"/>
            </w:rPr>
            <w:t>2.4指挥部其他成员单位及职责</w:t>
          </w:r>
          <w:r>
            <w:tab/>
          </w:r>
          <w:r>
            <w:fldChar w:fldCharType="begin"/>
          </w:r>
          <w:r>
            <w:instrText xml:space="preserve"> PAGEREF _Toc26542 \h </w:instrText>
          </w:r>
          <w:r>
            <w:fldChar w:fldCharType="separate"/>
          </w:r>
          <w:r>
            <w:t>8</w:t>
          </w:r>
          <w:r>
            <w:fldChar w:fldCharType="end"/>
          </w:r>
          <w:r>
            <w:rPr>
              <w:rFonts w:hint="eastAsia"/>
              <w:lang w:val="en-US" w:eastAsia="zh-CN"/>
            </w:rPr>
            <w:fldChar w:fldCharType="end"/>
          </w:r>
        </w:p>
        <w:p w14:paraId="057D7FFC">
          <w:pPr>
            <w:pStyle w:val="9"/>
            <w:tabs>
              <w:tab w:val="right" w:leader="dot" w:pos="8306"/>
            </w:tabs>
          </w:pPr>
          <w:r>
            <w:rPr>
              <w:rFonts w:hint="eastAsia"/>
              <w:lang w:val="en-US" w:eastAsia="zh-CN"/>
            </w:rPr>
            <w:fldChar w:fldCharType="begin"/>
          </w:r>
          <w:r>
            <w:rPr>
              <w:rFonts w:hint="eastAsia"/>
              <w:lang w:val="en-US" w:eastAsia="zh-CN"/>
            </w:rPr>
            <w:instrText xml:space="preserve"> HYPERLINK \l _Toc7620 </w:instrText>
          </w:r>
          <w:r>
            <w:rPr>
              <w:rFonts w:hint="eastAsia"/>
              <w:lang w:val="en-US" w:eastAsia="zh-CN"/>
            </w:rPr>
            <w:fldChar w:fldCharType="separate"/>
          </w:r>
          <w:r>
            <w:rPr>
              <w:rFonts w:hint="eastAsia"/>
              <w:bCs w:val="0"/>
              <w:lang w:val="en-US" w:eastAsia="zh-CN"/>
            </w:rPr>
            <w:t>2.5区以下层面组织指挥机制</w:t>
          </w:r>
          <w:r>
            <w:tab/>
          </w:r>
          <w:r>
            <w:fldChar w:fldCharType="begin"/>
          </w:r>
          <w:r>
            <w:instrText xml:space="preserve"> PAGEREF _Toc7620 \h </w:instrText>
          </w:r>
          <w:r>
            <w:fldChar w:fldCharType="separate"/>
          </w:r>
          <w:r>
            <w:t>9</w:t>
          </w:r>
          <w:r>
            <w:fldChar w:fldCharType="end"/>
          </w:r>
          <w:r>
            <w:rPr>
              <w:rFonts w:hint="eastAsia"/>
              <w:lang w:val="en-US" w:eastAsia="zh-CN"/>
            </w:rPr>
            <w:fldChar w:fldCharType="end"/>
          </w:r>
        </w:p>
        <w:p w14:paraId="3540971A">
          <w:pPr>
            <w:pStyle w:val="7"/>
            <w:tabs>
              <w:tab w:val="right" w:leader="dot" w:pos="8306"/>
            </w:tabs>
          </w:pPr>
          <w:r>
            <w:rPr>
              <w:rFonts w:hint="eastAsia"/>
              <w:lang w:val="en-US" w:eastAsia="zh-CN"/>
            </w:rPr>
            <w:fldChar w:fldCharType="begin"/>
          </w:r>
          <w:r>
            <w:rPr>
              <w:rFonts w:hint="eastAsia"/>
              <w:lang w:val="en-US" w:eastAsia="zh-CN"/>
            </w:rPr>
            <w:instrText xml:space="preserve"> HYPERLINK \l _Toc16461 </w:instrText>
          </w:r>
          <w:r>
            <w:rPr>
              <w:rFonts w:hint="eastAsia"/>
              <w:lang w:val="en-US" w:eastAsia="zh-CN"/>
            </w:rPr>
            <w:fldChar w:fldCharType="separate"/>
          </w:r>
          <w:r>
            <w:rPr>
              <w:rFonts w:hint="eastAsia"/>
              <w:lang w:val="en-US" w:eastAsia="zh-CN"/>
            </w:rPr>
            <w:t>三、</w:t>
          </w:r>
          <w:r>
            <w:rPr>
              <w:rFonts w:hint="eastAsia"/>
            </w:rPr>
            <w:t>预防、监测与预警</w:t>
          </w:r>
          <w:r>
            <w:tab/>
          </w:r>
          <w:r>
            <w:fldChar w:fldCharType="begin"/>
          </w:r>
          <w:r>
            <w:instrText xml:space="preserve"> PAGEREF _Toc16461 \h </w:instrText>
          </w:r>
          <w:r>
            <w:fldChar w:fldCharType="separate"/>
          </w:r>
          <w:r>
            <w:t>10</w:t>
          </w:r>
          <w:r>
            <w:fldChar w:fldCharType="end"/>
          </w:r>
          <w:r>
            <w:rPr>
              <w:rFonts w:hint="eastAsia"/>
              <w:lang w:val="en-US" w:eastAsia="zh-CN"/>
            </w:rPr>
            <w:fldChar w:fldCharType="end"/>
          </w:r>
        </w:p>
        <w:p w14:paraId="24F3A8D4">
          <w:pPr>
            <w:pStyle w:val="9"/>
            <w:tabs>
              <w:tab w:val="right" w:leader="dot" w:pos="8306"/>
            </w:tabs>
          </w:pPr>
          <w:r>
            <w:rPr>
              <w:rFonts w:hint="eastAsia"/>
              <w:lang w:val="en-US" w:eastAsia="zh-CN"/>
            </w:rPr>
            <w:fldChar w:fldCharType="begin"/>
          </w:r>
          <w:r>
            <w:rPr>
              <w:rFonts w:hint="eastAsia"/>
              <w:lang w:val="en-US" w:eastAsia="zh-CN"/>
            </w:rPr>
            <w:instrText xml:space="preserve"> HYPERLINK \l _Toc4223 </w:instrText>
          </w:r>
          <w:r>
            <w:rPr>
              <w:rFonts w:hint="eastAsia"/>
              <w:lang w:val="en-US" w:eastAsia="zh-CN"/>
            </w:rPr>
            <w:fldChar w:fldCharType="separate"/>
          </w:r>
          <w:r>
            <w:rPr>
              <w:rFonts w:hint="eastAsia"/>
              <w:bCs w:val="0"/>
              <w:lang w:val="en-US" w:eastAsia="zh-CN"/>
            </w:rPr>
            <w:t>3.1</w:t>
          </w:r>
          <w:r>
            <w:rPr>
              <w:rFonts w:hint="eastAsia"/>
              <w:bCs w:val="0"/>
            </w:rPr>
            <w:t>预防</w:t>
          </w:r>
          <w:r>
            <w:tab/>
          </w:r>
          <w:r>
            <w:fldChar w:fldCharType="begin"/>
          </w:r>
          <w:r>
            <w:instrText xml:space="preserve"> PAGEREF _Toc4223 \h </w:instrText>
          </w:r>
          <w:r>
            <w:fldChar w:fldCharType="separate"/>
          </w:r>
          <w:r>
            <w:t>10</w:t>
          </w:r>
          <w:r>
            <w:fldChar w:fldCharType="end"/>
          </w:r>
          <w:r>
            <w:rPr>
              <w:rFonts w:hint="eastAsia"/>
              <w:lang w:val="en-US" w:eastAsia="zh-CN"/>
            </w:rPr>
            <w:fldChar w:fldCharType="end"/>
          </w:r>
        </w:p>
        <w:p w14:paraId="2D4577CE">
          <w:pPr>
            <w:pStyle w:val="9"/>
            <w:tabs>
              <w:tab w:val="right" w:leader="dot" w:pos="8306"/>
            </w:tabs>
          </w:pPr>
          <w:r>
            <w:rPr>
              <w:rFonts w:hint="eastAsia"/>
              <w:lang w:val="en-US" w:eastAsia="zh-CN"/>
            </w:rPr>
            <w:fldChar w:fldCharType="begin"/>
          </w:r>
          <w:r>
            <w:rPr>
              <w:rFonts w:hint="eastAsia"/>
              <w:lang w:val="en-US" w:eastAsia="zh-CN"/>
            </w:rPr>
            <w:instrText xml:space="preserve"> HYPERLINK \l _Toc9716 </w:instrText>
          </w:r>
          <w:r>
            <w:rPr>
              <w:rFonts w:hint="eastAsia"/>
              <w:lang w:val="en-US" w:eastAsia="zh-CN"/>
            </w:rPr>
            <w:fldChar w:fldCharType="separate"/>
          </w:r>
          <w:r>
            <w:rPr>
              <w:rFonts w:hint="eastAsia"/>
              <w:bCs w:val="0"/>
              <w:lang w:val="en-US" w:eastAsia="zh-CN"/>
            </w:rPr>
            <w:t>3.2</w:t>
          </w:r>
          <w:r>
            <w:rPr>
              <w:rFonts w:hint="eastAsia"/>
              <w:bCs w:val="0"/>
            </w:rPr>
            <w:t>监测</w:t>
          </w:r>
          <w:r>
            <w:tab/>
          </w:r>
          <w:r>
            <w:fldChar w:fldCharType="begin"/>
          </w:r>
          <w:r>
            <w:instrText xml:space="preserve"> PAGEREF _Toc9716 \h </w:instrText>
          </w:r>
          <w:r>
            <w:fldChar w:fldCharType="separate"/>
          </w:r>
          <w:r>
            <w:t>10</w:t>
          </w:r>
          <w:r>
            <w:fldChar w:fldCharType="end"/>
          </w:r>
          <w:r>
            <w:rPr>
              <w:rFonts w:hint="eastAsia"/>
              <w:lang w:val="en-US" w:eastAsia="zh-CN"/>
            </w:rPr>
            <w:fldChar w:fldCharType="end"/>
          </w:r>
        </w:p>
        <w:p w14:paraId="7FA77771">
          <w:pPr>
            <w:pStyle w:val="9"/>
            <w:tabs>
              <w:tab w:val="right" w:leader="dot" w:pos="8306"/>
            </w:tabs>
          </w:pPr>
          <w:r>
            <w:rPr>
              <w:rFonts w:hint="eastAsia"/>
              <w:lang w:val="en-US" w:eastAsia="zh-CN"/>
            </w:rPr>
            <w:fldChar w:fldCharType="begin"/>
          </w:r>
          <w:r>
            <w:rPr>
              <w:rFonts w:hint="eastAsia"/>
              <w:lang w:val="en-US" w:eastAsia="zh-CN"/>
            </w:rPr>
            <w:instrText xml:space="preserve"> HYPERLINK \l _Toc2855 </w:instrText>
          </w:r>
          <w:r>
            <w:rPr>
              <w:rFonts w:hint="eastAsia"/>
              <w:lang w:val="en-US" w:eastAsia="zh-CN"/>
            </w:rPr>
            <w:fldChar w:fldCharType="separate"/>
          </w:r>
          <w:r>
            <w:rPr>
              <w:rFonts w:hint="eastAsia"/>
              <w:bCs w:val="0"/>
              <w:lang w:val="en-US" w:eastAsia="zh-CN"/>
            </w:rPr>
            <w:t>3.3预警</w:t>
          </w:r>
          <w:r>
            <w:tab/>
          </w:r>
          <w:r>
            <w:fldChar w:fldCharType="begin"/>
          </w:r>
          <w:r>
            <w:instrText xml:space="preserve"> PAGEREF _Toc2855 \h </w:instrText>
          </w:r>
          <w:r>
            <w:fldChar w:fldCharType="separate"/>
          </w:r>
          <w:r>
            <w:t>10</w:t>
          </w:r>
          <w:r>
            <w:fldChar w:fldCharType="end"/>
          </w:r>
          <w:r>
            <w:rPr>
              <w:rFonts w:hint="eastAsia"/>
              <w:lang w:val="en-US" w:eastAsia="zh-CN"/>
            </w:rPr>
            <w:fldChar w:fldCharType="end"/>
          </w:r>
        </w:p>
        <w:p w14:paraId="1850FA74">
          <w:pPr>
            <w:pStyle w:val="7"/>
            <w:tabs>
              <w:tab w:val="right" w:leader="dot" w:pos="8306"/>
            </w:tabs>
          </w:pPr>
          <w:r>
            <w:rPr>
              <w:rFonts w:hint="eastAsia"/>
              <w:lang w:val="en-US" w:eastAsia="zh-CN"/>
            </w:rPr>
            <w:fldChar w:fldCharType="begin"/>
          </w:r>
          <w:r>
            <w:rPr>
              <w:rFonts w:hint="eastAsia"/>
              <w:lang w:val="en-US" w:eastAsia="zh-CN"/>
            </w:rPr>
            <w:instrText xml:space="preserve"> HYPERLINK \l _Toc970 </w:instrText>
          </w:r>
          <w:r>
            <w:rPr>
              <w:rFonts w:hint="eastAsia"/>
              <w:lang w:val="en-US" w:eastAsia="zh-CN"/>
            </w:rPr>
            <w:fldChar w:fldCharType="separate"/>
          </w:r>
          <w:r>
            <w:rPr>
              <w:rFonts w:hint="eastAsia"/>
              <w:lang w:val="en-US" w:eastAsia="zh-CN"/>
            </w:rPr>
            <w:t>四、</w:t>
          </w:r>
          <w:r>
            <w:rPr>
              <w:rFonts w:hint="eastAsia"/>
            </w:rPr>
            <w:t>应急处置与救援</w:t>
          </w:r>
          <w:r>
            <w:tab/>
          </w:r>
          <w:r>
            <w:fldChar w:fldCharType="begin"/>
          </w:r>
          <w:r>
            <w:instrText xml:space="preserve"> PAGEREF _Toc970 \h </w:instrText>
          </w:r>
          <w:r>
            <w:fldChar w:fldCharType="separate"/>
          </w:r>
          <w:r>
            <w:t>12</w:t>
          </w:r>
          <w:r>
            <w:fldChar w:fldCharType="end"/>
          </w:r>
          <w:r>
            <w:rPr>
              <w:rFonts w:hint="eastAsia"/>
              <w:lang w:val="en-US" w:eastAsia="zh-CN"/>
            </w:rPr>
            <w:fldChar w:fldCharType="end"/>
          </w:r>
        </w:p>
        <w:p w14:paraId="6113D9A5">
          <w:pPr>
            <w:pStyle w:val="9"/>
            <w:tabs>
              <w:tab w:val="right" w:leader="dot" w:pos="8306"/>
            </w:tabs>
          </w:pPr>
          <w:r>
            <w:rPr>
              <w:rFonts w:hint="eastAsia"/>
              <w:lang w:val="en-US" w:eastAsia="zh-CN"/>
            </w:rPr>
            <w:fldChar w:fldCharType="begin"/>
          </w:r>
          <w:r>
            <w:rPr>
              <w:rFonts w:hint="eastAsia"/>
              <w:lang w:val="en-US" w:eastAsia="zh-CN"/>
            </w:rPr>
            <w:instrText xml:space="preserve"> HYPERLINK \l _Toc5726 </w:instrText>
          </w:r>
          <w:r>
            <w:rPr>
              <w:rFonts w:hint="eastAsia"/>
              <w:lang w:val="en-US" w:eastAsia="zh-CN"/>
            </w:rPr>
            <w:fldChar w:fldCharType="separate"/>
          </w:r>
          <w:r>
            <w:rPr>
              <w:rFonts w:hint="eastAsia"/>
              <w:bCs w:val="0"/>
              <w:lang w:val="en-US" w:eastAsia="zh-CN"/>
            </w:rPr>
            <w:t>4.1信息报告和共享</w:t>
          </w:r>
          <w:r>
            <w:tab/>
          </w:r>
          <w:r>
            <w:fldChar w:fldCharType="begin"/>
          </w:r>
          <w:r>
            <w:instrText xml:space="preserve"> PAGEREF _Toc5726 \h </w:instrText>
          </w:r>
          <w:r>
            <w:fldChar w:fldCharType="separate"/>
          </w:r>
          <w:r>
            <w:t>12</w:t>
          </w:r>
          <w:r>
            <w:fldChar w:fldCharType="end"/>
          </w:r>
          <w:r>
            <w:rPr>
              <w:rFonts w:hint="eastAsia"/>
              <w:lang w:val="en-US" w:eastAsia="zh-CN"/>
            </w:rPr>
            <w:fldChar w:fldCharType="end"/>
          </w:r>
        </w:p>
        <w:p w14:paraId="0AF7416D">
          <w:pPr>
            <w:pStyle w:val="9"/>
            <w:tabs>
              <w:tab w:val="right" w:leader="dot" w:pos="8306"/>
            </w:tabs>
          </w:pPr>
          <w:r>
            <w:rPr>
              <w:rFonts w:hint="eastAsia"/>
              <w:lang w:val="en-US" w:eastAsia="zh-CN"/>
            </w:rPr>
            <w:fldChar w:fldCharType="begin"/>
          </w:r>
          <w:r>
            <w:rPr>
              <w:rFonts w:hint="eastAsia"/>
              <w:lang w:val="en-US" w:eastAsia="zh-CN"/>
            </w:rPr>
            <w:instrText xml:space="preserve"> HYPERLINK \l _Toc18840 </w:instrText>
          </w:r>
          <w:r>
            <w:rPr>
              <w:rFonts w:hint="eastAsia"/>
              <w:lang w:val="en-US" w:eastAsia="zh-CN"/>
            </w:rPr>
            <w:fldChar w:fldCharType="separate"/>
          </w:r>
          <w:r>
            <w:rPr>
              <w:rFonts w:hint="eastAsia"/>
              <w:bCs w:val="0"/>
              <w:lang w:val="en-US" w:eastAsia="zh-CN"/>
            </w:rPr>
            <w:t>4.2先期处置</w:t>
          </w:r>
          <w:r>
            <w:tab/>
          </w:r>
          <w:r>
            <w:fldChar w:fldCharType="begin"/>
          </w:r>
          <w:r>
            <w:instrText xml:space="preserve"> PAGEREF _Toc18840 \h </w:instrText>
          </w:r>
          <w:r>
            <w:fldChar w:fldCharType="separate"/>
          </w:r>
          <w:r>
            <w:t>14</w:t>
          </w:r>
          <w:r>
            <w:fldChar w:fldCharType="end"/>
          </w:r>
          <w:r>
            <w:rPr>
              <w:rFonts w:hint="eastAsia"/>
              <w:lang w:val="en-US" w:eastAsia="zh-CN"/>
            </w:rPr>
            <w:fldChar w:fldCharType="end"/>
          </w:r>
        </w:p>
        <w:p w14:paraId="7AAC826D">
          <w:pPr>
            <w:pStyle w:val="9"/>
            <w:tabs>
              <w:tab w:val="right" w:leader="dot" w:pos="8306"/>
            </w:tabs>
          </w:pPr>
          <w:r>
            <w:rPr>
              <w:rFonts w:hint="eastAsia"/>
              <w:lang w:val="en-US" w:eastAsia="zh-CN"/>
            </w:rPr>
            <w:fldChar w:fldCharType="begin"/>
          </w:r>
          <w:r>
            <w:rPr>
              <w:rFonts w:hint="eastAsia"/>
              <w:lang w:val="en-US" w:eastAsia="zh-CN"/>
            </w:rPr>
            <w:instrText xml:space="preserve"> HYPERLINK \l _Toc3507 </w:instrText>
          </w:r>
          <w:r>
            <w:rPr>
              <w:rFonts w:hint="eastAsia"/>
              <w:lang w:val="en-US" w:eastAsia="zh-CN"/>
            </w:rPr>
            <w:fldChar w:fldCharType="separate"/>
          </w:r>
          <w:r>
            <w:rPr>
              <w:rFonts w:hint="eastAsia"/>
              <w:bCs w:val="0"/>
              <w:lang w:val="en-US" w:eastAsia="zh-CN"/>
            </w:rPr>
            <w:t>4.3应急响应</w:t>
          </w:r>
          <w:r>
            <w:tab/>
          </w:r>
          <w:r>
            <w:fldChar w:fldCharType="begin"/>
          </w:r>
          <w:r>
            <w:instrText xml:space="preserve"> PAGEREF _Toc3507 \h </w:instrText>
          </w:r>
          <w:r>
            <w:fldChar w:fldCharType="separate"/>
          </w:r>
          <w:r>
            <w:t>15</w:t>
          </w:r>
          <w:r>
            <w:fldChar w:fldCharType="end"/>
          </w:r>
          <w:r>
            <w:rPr>
              <w:rFonts w:hint="eastAsia"/>
              <w:lang w:val="en-US" w:eastAsia="zh-CN"/>
            </w:rPr>
            <w:fldChar w:fldCharType="end"/>
          </w:r>
        </w:p>
        <w:p w14:paraId="43463E95">
          <w:pPr>
            <w:pStyle w:val="9"/>
            <w:tabs>
              <w:tab w:val="right" w:leader="dot" w:pos="8306"/>
            </w:tabs>
          </w:pPr>
          <w:r>
            <w:rPr>
              <w:rFonts w:hint="eastAsia"/>
              <w:lang w:val="en-US" w:eastAsia="zh-CN"/>
            </w:rPr>
            <w:fldChar w:fldCharType="begin"/>
          </w:r>
          <w:r>
            <w:rPr>
              <w:rFonts w:hint="eastAsia"/>
              <w:lang w:val="en-US" w:eastAsia="zh-CN"/>
            </w:rPr>
            <w:instrText xml:space="preserve"> HYPERLINK \l _Toc3067 </w:instrText>
          </w:r>
          <w:r>
            <w:rPr>
              <w:rFonts w:hint="eastAsia"/>
              <w:lang w:val="en-US" w:eastAsia="zh-CN"/>
            </w:rPr>
            <w:fldChar w:fldCharType="separate"/>
          </w:r>
          <w:r>
            <w:rPr>
              <w:rFonts w:hint="eastAsia"/>
              <w:bCs w:val="0"/>
              <w:lang w:val="en-US" w:eastAsia="zh-CN"/>
            </w:rPr>
            <w:t>4.4指挥协调</w:t>
          </w:r>
          <w:r>
            <w:tab/>
          </w:r>
          <w:r>
            <w:fldChar w:fldCharType="begin"/>
          </w:r>
          <w:r>
            <w:instrText xml:space="preserve"> PAGEREF _Toc3067 \h </w:instrText>
          </w:r>
          <w:r>
            <w:fldChar w:fldCharType="separate"/>
          </w:r>
          <w:r>
            <w:t>16</w:t>
          </w:r>
          <w:r>
            <w:fldChar w:fldCharType="end"/>
          </w:r>
          <w:r>
            <w:rPr>
              <w:rFonts w:hint="eastAsia"/>
              <w:lang w:val="en-US" w:eastAsia="zh-CN"/>
            </w:rPr>
            <w:fldChar w:fldCharType="end"/>
          </w:r>
        </w:p>
        <w:p w14:paraId="5084C5A5">
          <w:pPr>
            <w:pStyle w:val="9"/>
            <w:tabs>
              <w:tab w:val="right" w:leader="dot" w:pos="8306"/>
            </w:tabs>
          </w:pPr>
          <w:r>
            <w:rPr>
              <w:rFonts w:hint="eastAsia"/>
              <w:lang w:val="en-US" w:eastAsia="zh-CN"/>
            </w:rPr>
            <w:fldChar w:fldCharType="begin"/>
          </w:r>
          <w:r>
            <w:rPr>
              <w:rFonts w:hint="eastAsia"/>
              <w:lang w:val="en-US" w:eastAsia="zh-CN"/>
            </w:rPr>
            <w:instrText xml:space="preserve"> HYPERLINK \l _Toc17804 </w:instrText>
          </w:r>
          <w:r>
            <w:rPr>
              <w:rFonts w:hint="eastAsia"/>
              <w:lang w:val="en-US" w:eastAsia="zh-CN"/>
            </w:rPr>
            <w:fldChar w:fldCharType="separate"/>
          </w:r>
          <w:r>
            <w:rPr>
              <w:rFonts w:hint="eastAsia"/>
              <w:bCs w:val="0"/>
              <w:lang w:val="en-US" w:eastAsia="zh-CN"/>
            </w:rPr>
            <w:t>4.5现场指挥部与现场指挥长</w:t>
          </w:r>
          <w:r>
            <w:tab/>
          </w:r>
          <w:r>
            <w:fldChar w:fldCharType="begin"/>
          </w:r>
          <w:r>
            <w:instrText xml:space="preserve"> PAGEREF _Toc17804 \h </w:instrText>
          </w:r>
          <w:r>
            <w:fldChar w:fldCharType="separate"/>
          </w:r>
          <w:r>
            <w:t>17</w:t>
          </w:r>
          <w:r>
            <w:fldChar w:fldCharType="end"/>
          </w:r>
          <w:r>
            <w:rPr>
              <w:rFonts w:hint="eastAsia"/>
              <w:lang w:val="en-US" w:eastAsia="zh-CN"/>
            </w:rPr>
            <w:fldChar w:fldCharType="end"/>
          </w:r>
        </w:p>
        <w:p w14:paraId="637323E0">
          <w:pPr>
            <w:pStyle w:val="9"/>
            <w:tabs>
              <w:tab w:val="right" w:leader="dot" w:pos="8306"/>
            </w:tabs>
          </w:pPr>
          <w:r>
            <w:rPr>
              <w:rFonts w:hint="eastAsia"/>
              <w:lang w:val="en-US" w:eastAsia="zh-CN"/>
            </w:rPr>
            <w:fldChar w:fldCharType="begin"/>
          </w:r>
          <w:r>
            <w:rPr>
              <w:rFonts w:hint="eastAsia"/>
              <w:lang w:val="en-US" w:eastAsia="zh-CN"/>
            </w:rPr>
            <w:instrText xml:space="preserve"> HYPERLINK \l _Toc32524 </w:instrText>
          </w:r>
          <w:r>
            <w:rPr>
              <w:rFonts w:hint="eastAsia"/>
              <w:lang w:val="en-US" w:eastAsia="zh-CN"/>
            </w:rPr>
            <w:fldChar w:fldCharType="separate"/>
          </w:r>
          <w:r>
            <w:rPr>
              <w:rFonts w:hint="eastAsia"/>
              <w:bCs w:val="0"/>
              <w:lang w:val="en-US" w:eastAsia="zh-CN"/>
            </w:rPr>
            <w:t>4.6处置措施</w:t>
          </w:r>
          <w:r>
            <w:tab/>
          </w:r>
          <w:r>
            <w:fldChar w:fldCharType="begin"/>
          </w:r>
          <w:r>
            <w:instrText xml:space="preserve"> PAGEREF _Toc32524 \h </w:instrText>
          </w:r>
          <w:r>
            <w:fldChar w:fldCharType="separate"/>
          </w:r>
          <w:r>
            <w:t>17</w:t>
          </w:r>
          <w:r>
            <w:fldChar w:fldCharType="end"/>
          </w:r>
          <w:r>
            <w:rPr>
              <w:rFonts w:hint="eastAsia"/>
              <w:lang w:val="en-US" w:eastAsia="zh-CN"/>
            </w:rPr>
            <w:fldChar w:fldCharType="end"/>
          </w:r>
        </w:p>
        <w:p w14:paraId="485B7C93">
          <w:pPr>
            <w:pStyle w:val="9"/>
            <w:tabs>
              <w:tab w:val="right" w:leader="dot" w:pos="8306"/>
            </w:tabs>
          </w:pPr>
          <w:r>
            <w:rPr>
              <w:rFonts w:hint="eastAsia"/>
              <w:lang w:val="en-US" w:eastAsia="zh-CN"/>
            </w:rPr>
            <w:fldChar w:fldCharType="begin"/>
          </w:r>
          <w:r>
            <w:rPr>
              <w:rFonts w:hint="eastAsia"/>
              <w:lang w:val="en-US" w:eastAsia="zh-CN"/>
            </w:rPr>
            <w:instrText xml:space="preserve"> HYPERLINK \l _Toc21927 </w:instrText>
          </w:r>
          <w:r>
            <w:rPr>
              <w:rFonts w:hint="eastAsia"/>
              <w:lang w:val="en-US" w:eastAsia="zh-CN"/>
            </w:rPr>
            <w:fldChar w:fldCharType="separate"/>
          </w:r>
          <w:r>
            <w:rPr>
              <w:rFonts w:hint="eastAsia"/>
              <w:bCs w:val="0"/>
              <w:lang w:val="en-US" w:eastAsia="zh-CN"/>
            </w:rPr>
            <w:t>4.7响应升级</w:t>
          </w:r>
          <w:r>
            <w:tab/>
          </w:r>
          <w:r>
            <w:fldChar w:fldCharType="begin"/>
          </w:r>
          <w:r>
            <w:instrText xml:space="preserve"> PAGEREF _Toc21927 \h </w:instrText>
          </w:r>
          <w:r>
            <w:fldChar w:fldCharType="separate"/>
          </w:r>
          <w:r>
            <w:t>18</w:t>
          </w:r>
          <w:r>
            <w:fldChar w:fldCharType="end"/>
          </w:r>
          <w:r>
            <w:rPr>
              <w:rFonts w:hint="eastAsia"/>
              <w:lang w:val="en-US" w:eastAsia="zh-CN"/>
            </w:rPr>
            <w:fldChar w:fldCharType="end"/>
          </w:r>
        </w:p>
        <w:p w14:paraId="64C99C6E">
          <w:pPr>
            <w:pStyle w:val="9"/>
            <w:tabs>
              <w:tab w:val="right" w:leader="dot" w:pos="8306"/>
            </w:tabs>
          </w:pPr>
          <w:r>
            <w:rPr>
              <w:rFonts w:hint="eastAsia"/>
              <w:lang w:val="en-US" w:eastAsia="zh-CN"/>
            </w:rPr>
            <w:fldChar w:fldCharType="begin"/>
          </w:r>
          <w:r>
            <w:rPr>
              <w:rFonts w:hint="eastAsia"/>
              <w:lang w:val="en-US" w:eastAsia="zh-CN"/>
            </w:rPr>
            <w:instrText xml:space="preserve"> HYPERLINK \l _Toc26483 </w:instrText>
          </w:r>
          <w:r>
            <w:rPr>
              <w:rFonts w:hint="eastAsia"/>
              <w:lang w:val="en-US" w:eastAsia="zh-CN"/>
            </w:rPr>
            <w:fldChar w:fldCharType="separate"/>
          </w:r>
          <w:r>
            <w:rPr>
              <w:rFonts w:hint="eastAsia"/>
              <w:bCs w:val="0"/>
              <w:lang w:val="en-US" w:eastAsia="zh-CN"/>
            </w:rPr>
            <w:t>4.8社会动员</w:t>
          </w:r>
          <w:r>
            <w:tab/>
          </w:r>
          <w:r>
            <w:fldChar w:fldCharType="begin"/>
          </w:r>
          <w:r>
            <w:instrText xml:space="preserve"> PAGEREF _Toc26483 \h </w:instrText>
          </w:r>
          <w:r>
            <w:fldChar w:fldCharType="separate"/>
          </w:r>
          <w:r>
            <w:t>18</w:t>
          </w:r>
          <w:r>
            <w:fldChar w:fldCharType="end"/>
          </w:r>
          <w:r>
            <w:rPr>
              <w:rFonts w:hint="eastAsia"/>
              <w:lang w:val="en-US" w:eastAsia="zh-CN"/>
            </w:rPr>
            <w:fldChar w:fldCharType="end"/>
          </w:r>
        </w:p>
        <w:p w14:paraId="513646DF">
          <w:pPr>
            <w:pStyle w:val="9"/>
            <w:tabs>
              <w:tab w:val="right" w:leader="dot" w:pos="8306"/>
            </w:tabs>
          </w:pPr>
          <w:r>
            <w:rPr>
              <w:rFonts w:hint="eastAsia"/>
              <w:lang w:val="en-US" w:eastAsia="zh-CN"/>
            </w:rPr>
            <w:fldChar w:fldCharType="begin"/>
          </w:r>
          <w:r>
            <w:rPr>
              <w:rFonts w:hint="eastAsia"/>
              <w:lang w:val="en-US" w:eastAsia="zh-CN"/>
            </w:rPr>
            <w:instrText xml:space="preserve"> HYPERLINK \l _Toc21604 </w:instrText>
          </w:r>
          <w:r>
            <w:rPr>
              <w:rFonts w:hint="eastAsia"/>
              <w:lang w:val="en-US" w:eastAsia="zh-CN"/>
            </w:rPr>
            <w:fldChar w:fldCharType="separate"/>
          </w:r>
          <w:r>
            <w:rPr>
              <w:rFonts w:hint="eastAsia"/>
              <w:bCs w:val="0"/>
              <w:lang w:val="en-US" w:eastAsia="zh-CN"/>
            </w:rPr>
            <w:t>4.9信息发布</w:t>
          </w:r>
          <w:r>
            <w:tab/>
          </w:r>
          <w:r>
            <w:fldChar w:fldCharType="begin"/>
          </w:r>
          <w:r>
            <w:instrText xml:space="preserve"> PAGEREF _Toc21604 \h </w:instrText>
          </w:r>
          <w:r>
            <w:fldChar w:fldCharType="separate"/>
          </w:r>
          <w:r>
            <w:t>19</w:t>
          </w:r>
          <w:r>
            <w:fldChar w:fldCharType="end"/>
          </w:r>
          <w:r>
            <w:rPr>
              <w:rFonts w:hint="eastAsia"/>
              <w:lang w:val="en-US" w:eastAsia="zh-CN"/>
            </w:rPr>
            <w:fldChar w:fldCharType="end"/>
          </w:r>
        </w:p>
        <w:p w14:paraId="4F72D882">
          <w:pPr>
            <w:pStyle w:val="9"/>
            <w:tabs>
              <w:tab w:val="right" w:leader="dot" w:pos="8306"/>
            </w:tabs>
          </w:pPr>
          <w:r>
            <w:rPr>
              <w:rFonts w:hint="eastAsia"/>
              <w:lang w:val="en-US" w:eastAsia="zh-CN"/>
            </w:rPr>
            <w:fldChar w:fldCharType="begin"/>
          </w:r>
          <w:r>
            <w:rPr>
              <w:rFonts w:hint="eastAsia"/>
              <w:lang w:val="en-US" w:eastAsia="zh-CN"/>
            </w:rPr>
            <w:instrText xml:space="preserve"> HYPERLINK \l _Toc15625 </w:instrText>
          </w:r>
          <w:r>
            <w:rPr>
              <w:rFonts w:hint="eastAsia"/>
              <w:lang w:val="en-US" w:eastAsia="zh-CN"/>
            </w:rPr>
            <w:fldChar w:fldCharType="separate"/>
          </w:r>
          <w:r>
            <w:rPr>
              <w:rFonts w:hint="eastAsia"/>
              <w:bCs w:val="0"/>
              <w:lang w:val="en-US" w:eastAsia="zh-CN"/>
            </w:rPr>
            <w:t>4.10应急结束</w:t>
          </w:r>
          <w:r>
            <w:tab/>
          </w:r>
          <w:r>
            <w:fldChar w:fldCharType="begin"/>
          </w:r>
          <w:r>
            <w:instrText xml:space="preserve"> PAGEREF _Toc15625 \h </w:instrText>
          </w:r>
          <w:r>
            <w:fldChar w:fldCharType="separate"/>
          </w:r>
          <w:r>
            <w:t>19</w:t>
          </w:r>
          <w:r>
            <w:fldChar w:fldCharType="end"/>
          </w:r>
          <w:r>
            <w:rPr>
              <w:rFonts w:hint="eastAsia"/>
              <w:lang w:val="en-US" w:eastAsia="zh-CN"/>
            </w:rPr>
            <w:fldChar w:fldCharType="end"/>
          </w:r>
        </w:p>
        <w:p w14:paraId="4B20D991">
          <w:pPr>
            <w:pStyle w:val="7"/>
            <w:tabs>
              <w:tab w:val="right" w:leader="dot" w:pos="8306"/>
            </w:tabs>
          </w:pPr>
          <w:r>
            <w:rPr>
              <w:rFonts w:hint="eastAsia"/>
              <w:lang w:val="en-US" w:eastAsia="zh-CN"/>
            </w:rPr>
            <w:fldChar w:fldCharType="begin"/>
          </w:r>
          <w:r>
            <w:rPr>
              <w:rFonts w:hint="eastAsia"/>
              <w:lang w:val="en-US" w:eastAsia="zh-CN"/>
            </w:rPr>
            <w:instrText xml:space="preserve"> HYPERLINK \l _Toc29027 </w:instrText>
          </w:r>
          <w:r>
            <w:rPr>
              <w:rFonts w:hint="eastAsia"/>
              <w:lang w:val="en-US" w:eastAsia="zh-CN"/>
            </w:rPr>
            <w:fldChar w:fldCharType="separate"/>
          </w:r>
          <w:r>
            <w:rPr>
              <w:rFonts w:hint="eastAsia"/>
            </w:rPr>
            <w:t>五、后期处置</w:t>
          </w:r>
          <w:r>
            <w:tab/>
          </w:r>
          <w:r>
            <w:fldChar w:fldCharType="begin"/>
          </w:r>
          <w:r>
            <w:instrText xml:space="preserve"> PAGEREF _Toc29027 \h </w:instrText>
          </w:r>
          <w:r>
            <w:fldChar w:fldCharType="separate"/>
          </w:r>
          <w:r>
            <w:t>19</w:t>
          </w:r>
          <w:r>
            <w:fldChar w:fldCharType="end"/>
          </w:r>
          <w:r>
            <w:rPr>
              <w:rFonts w:hint="eastAsia"/>
              <w:lang w:val="en-US" w:eastAsia="zh-CN"/>
            </w:rPr>
            <w:fldChar w:fldCharType="end"/>
          </w:r>
        </w:p>
        <w:p w14:paraId="2FCCDC61">
          <w:pPr>
            <w:pStyle w:val="9"/>
            <w:tabs>
              <w:tab w:val="right" w:leader="dot" w:pos="8306"/>
            </w:tabs>
          </w:pPr>
          <w:r>
            <w:rPr>
              <w:rFonts w:hint="eastAsia"/>
              <w:lang w:val="en-US" w:eastAsia="zh-CN"/>
            </w:rPr>
            <w:fldChar w:fldCharType="begin"/>
          </w:r>
          <w:r>
            <w:rPr>
              <w:rFonts w:hint="eastAsia"/>
              <w:lang w:val="en-US" w:eastAsia="zh-CN"/>
            </w:rPr>
            <w:instrText xml:space="preserve"> HYPERLINK \l _Toc21351 </w:instrText>
          </w:r>
          <w:r>
            <w:rPr>
              <w:rFonts w:hint="eastAsia"/>
              <w:lang w:val="en-US" w:eastAsia="zh-CN"/>
            </w:rPr>
            <w:fldChar w:fldCharType="separate"/>
          </w:r>
          <w:r>
            <w:rPr>
              <w:rFonts w:hint="eastAsia"/>
              <w:bCs w:val="0"/>
              <w:lang w:val="en-US" w:eastAsia="zh-CN"/>
            </w:rPr>
            <w:t>5.1善后处置</w:t>
          </w:r>
          <w:r>
            <w:tab/>
          </w:r>
          <w:r>
            <w:fldChar w:fldCharType="begin"/>
          </w:r>
          <w:r>
            <w:instrText xml:space="preserve"> PAGEREF _Toc21351 \h </w:instrText>
          </w:r>
          <w:r>
            <w:fldChar w:fldCharType="separate"/>
          </w:r>
          <w:r>
            <w:t>19</w:t>
          </w:r>
          <w:r>
            <w:fldChar w:fldCharType="end"/>
          </w:r>
          <w:r>
            <w:rPr>
              <w:rFonts w:hint="eastAsia"/>
              <w:lang w:val="en-US" w:eastAsia="zh-CN"/>
            </w:rPr>
            <w:fldChar w:fldCharType="end"/>
          </w:r>
        </w:p>
        <w:p w14:paraId="628FB47E">
          <w:pPr>
            <w:pStyle w:val="9"/>
            <w:tabs>
              <w:tab w:val="right" w:leader="dot" w:pos="8306"/>
            </w:tabs>
          </w:pPr>
          <w:r>
            <w:rPr>
              <w:rFonts w:hint="eastAsia"/>
              <w:lang w:val="en-US" w:eastAsia="zh-CN"/>
            </w:rPr>
            <w:fldChar w:fldCharType="begin"/>
          </w:r>
          <w:r>
            <w:rPr>
              <w:rFonts w:hint="eastAsia"/>
              <w:lang w:val="en-US" w:eastAsia="zh-CN"/>
            </w:rPr>
            <w:instrText xml:space="preserve"> HYPERLINK \l _Toc4690 </w:instrText>
          </w:r>
          <w:r>
            <w:rPr>
              <w:rFonts w:hint="eastAsia"/>
              <w:lang w:val="en-US" w:eastAsia="zh-CN"/>
            </w:rPr>
            <w:fldChar w:fldCharType="separate"/>
          </w:r>
          <w:r>
            <w:rPr>
              <w:rFonts w:hint="eastAsia"/>
              <w:bCs w:val="0"/>
              <w:lang w:val="en-US" w:eastAsia="zh-CN"/>
            </w:rPr>
            <w:t>5.2社会救助</w:t>
          </w:r>
          <w:r>
            <w:tab/>
          </w:r>
          <w:r>
            <w:fldChar w:fldCharType="begin"/>
          </w:r>
          <w:r>
            <w:instrText xml:space="preserve"> PAGEREF _Toc4690 \h </w:instrText>
          </w:r>
          <w:r>
            <w:fldChar w:fldCharType="separate"/>
          </w:r>
          <w:r>
            <w:t>19</w:t>
          </w:r>
          <w:r>
            <w:fldChar w:fldCharType="end"/>
          </w:r>
          <w:r>
            <w:rPr>
              <w:rFonts w:hint="eastAsia"/>
              <w:lang w:val="en-US" w:eastAsia="zh-CN"/>
            </w:rPr>
            <w:fldChar w:fldCharType="end"/>
          </w:r>
        </w:p>
        <w:p w14:paraId="22D7B635">
          <w:pPr>
            <w:pStyle w:val="9"/>
            <w:tabs>
              <w:tab w:val="right" w:leader="dot" w:pos="8306"/>
            </w:tabs>
          </w:pPr>
          <w:r>
            <w:rPr>
              <w:rFonts w:hint="eastAsia"/>
              <w:lang w:val="en-US" w:eastAsia="zh-CN"/>
            </w:rPr>
            <w:fldChar w:fldCharType="begin"/>
          </w:r>
          <w:r>
            <w:rPr>
              <w:rFonts w:hint="eastAsia"/>
              <w:lang w:val="en-US" w:eastAsia="zh-CN"/>
            </w:rPr>
            <w:instrText xml:space="preserve"> HYPERLINK \l _Toc16411 </w:instrText>
          </w:r>
          <w:r>
            <w:rPr>
              <w:rFonts w:hint="eastAsia"/>
              <w:lang w:val="en-US" w:eastAsia="zh-CN"/>
            </w:rPr>
            <w:fldChar w:fldCharType="separate"/>
          </w:r>
          <w:r>
            <w:rPr>
              <w:rFonts w:hint="eastAsia"/>
              <w:bCs w:val="0"/>
              <w:lang w:val="en-US" w:eastAsia="zh-CN"/>
            </w:rPr>
            <w:t>5.3保险</w:t>
          </w:r>
          <w:r>
            <w:tab/>
          </w:r>
          <w:r>
            <w:fldChar w:fldCharType="begin"/>
          </w:r>
          <w:r>
            <w:instrText xml:space="preserve"> PAGEREF _Toc16411 \h </w:instrText>
          </w:r>
          <w:r>
            <w:fldChar w:fldCharType="separate"/>
          </w:r>
          <w:r>
            <w:t>20</w:t>
          </w:r>
          <w:r>
            <w:fldChar w:fldCharType="end"/>
          </w:r>
          <w:r>
            <w:rPr>
              <w:rFonts w:hint="eastAsia"/>
              <w:lang w:val="en-US" w:eastAsia="zh-CN"/>
            </w:rPr>
            <w:fldChar w:fldCharType="end"/>
          </w:r>
        </w:p>
        <w:p w14:paraId="14A136D3">
          <w:pPr>
            <w:pStyle w:val="9"/>
            <w:tabs>
              <w:tab w:val="right" w:leader="dot" w:pos="8306"/>
            </w:tabs>
          </w:pPr>
          <w:r>
            <w:rPr>
              <w:rFonts w:hint="eastAsia"/>
              <w:lang w:val="en-US" w:eastAsia="zh-CN"/>
            </w:rPr>
            <w:fldChar w:fldCharType="begin"/>
          </w:r>
          <w:r>
            <w:rPr>
              <w:rFonts w:hint="eastAsia"/>
              <w:lang w:val="en-US" w:eastAsia="zh-CN"/>
            </w:rPr>
            <w:instrText xml:space="preserve"> HYPERLINK \l _Toc27349 </w:instrText>
          </w:r>
          <w:r>
            <w:rPr>
              <w:rFonts w:hint="eastAsia"/>
              <w:lang w:val="en-US" w:eastAsia="zh-CN"/>
            </w:rPr>
            <w:fldChar w:fldCharType="separate"/>
          </w:r>
          <w:r>
            <w:rPr>
              <w:rFonts w:hint="eastAsia"/>
              <w:bCs w:val="0"/>
              <w:lang w:val="en-US" w:eastAsia="zh-CN"/>
            </w:rPr>
            <w:t>5.4调查评估</w:t>
          </w:r>
          <w:r>
            <w:tab/>
          </w:r>
          <w:r>
            <w:fldChar w:fldCharType="begin"/>
          </w:r>
          <w:r>
            <w:instrText xml:space="preserve"> PAGEREF _Toc27349 \h </w:instrText>
          </w:r>
          <w:r>
            <w:fldChar w:fldCharType="separate"/>
          </w:r>
          <w:r>
            <w:t>20</w:t>
          </w:r>
          <w:r>
            <w:fldChar w:fldCharType="end"/>
          </w:r>
          <w:r>
            <w:rPr>
              <w:rFonts w:hint="eastAsia"/>
              <w:lang w:val="en-US" w:eastAsia="zh-CN"/>
            </w:rPr>
            <w:fldChar w:fldCharType="end"/>
          </w:r>
        </w:p>
        <w:p w14:paraId="05B500CE">
          <w:pPr>
            <w:pStyle w:val="9"/>
            <w:tabs>
              <w:tab w:val="right" w:leader="dot" w:pos="8306"/>
            </w:tabs>
          </w:pPr>
          <w:r>
            <w:rPr>
              <w:rFonts w:hint="eastAsia"/>
              <w:lang w:val="en-US" w:eastAsia="zh-CN"/>
            </w:rPr>
            <w:fldChar w:fldCharType="begin"/>
          </w:r>
          <w:r>
            <w:rPr>
              <w:rFonts w:hint="eastAsia"/>
              <w:lang w:val="en-US" w:eastAsia="zh-CN"/>
            </w:rPr>
            <w:instrText xml:space="preserve"> HYPERLINK \l _Toc13144 </w:instrText>
          </w:r>
          <w:r>
            <w:rPr>
              <w:rFonts w:hint="eastAsia"/>
              <w:lang w:val="en-US" w:eastAsia="zh-CN"/>
            </w:rPr>
            <w:fldChar w:fldCharType="separate"/>
          </w:r>
          <w:r>
            <w:rPr>
              <w:rFonts w:hint="eastAsia"/>
              <w:bCs w:val="0"/>
              <w:lang w:val="en-US" w:eastAsia="zh-CN"/>
            </w:rPr>
            <w:t>5.5恢复与重建</w:t>
          </w:r>
          <w:r>
            <w:tab/>
          </w:r>
          <w:r>
            <w:fldChar w:fldCharType="begin"/>
          </w:r>
          <w:r>
            <w:instrText xml:space="preserve"> PAGEREF _Toc13144 \h </w:instrText>
          </w:r>
          <w:r>
            <w:fldChar w:fldCharType="separate"/>
          </w:r>
          <w:r>
            <w:t>20</w:t>
          </w:r>
          <w:r>
            <w:fldChar w:fldCharType="end"/>
          </w:r>
          <w:r>
            <w:rPr>
              <w:rFonts w:hint="eastAsia"/>
              <w:lang w:val="en-US" w:eastAsia="zh-CN"/>
            </w:rPr>
            <w:fldChar w:fldCharType="end"/>
          </w:r>
        </w:p>
        <w:p w14:paraId="216A9F09">
          <w:pPr>
            <w:pStyle w:val="7"/>
            <w:tabs>
              <w:tab w:val="right" w:leader="dot" w:pos="8306"/>
            </w:tabs>
          </w:pPr>
          <w:r>
            <w:rPr>
              <w:rFonts w:hint="eastAsia"/>
              <w:lang w:val="en-US" w:eastAsia="zh-CN"/>
            </w:rPr>
            <w:fldChar w:fldCharType="begin"/>
          </w:r>
          <w:r>
            <w:rPr>
              <w:rFonts w:hint="eastAsia"/>
              <w:lang w:val="en-US" w:eastAsia="zh-CN"/>
            </w:rPr>
            <w:instrText xml:space="preserve"> HYPERLINK \l _Toc4328 </w:instrText>
          </w:r>
          <w:r>
            <w:rPr>
              <w:rFonts w:hint="eastAsia"/>
              <w:lang w:val="en-US" w:eastAsia="zh-CN"/>
            </w:rPr>
            <w:fldChar w:fldCharType="separate"/>
          </w:r>
          <w:r>
            <w:rPr>
              <w:rFonts w:hint="eastAsia"/>
            </w:rPr>
            <w:t>六、应急保障</w:t>
          </w:r>
          <w:r>
            <w:tab/>
          </w:r>
          <w:r>
            <w:fldChar w:fldCharType="begin"/>
          </w:r>
          <w:r>
            <w:instrText xml:space="preserve"> PAGEREF _Toc4328 \h </w:instrText>
          </w:r>
          <w:r>
            <w:fldChar w:fldCharType="separate"/>
          </w:r>
          <w:r>
            <w:t>21</w:t>
          </w:r>
          <w:r>
            <w:fldChar w:fldCharType="end"/>
          </w:r>
          <w:r>
            <w:rPr>
              <w:rFonts w:hint="eastAsia"/>
              <w:lang w:val="en-US" w:eastAsia="zh-CN"/>
            </w:rPr>
            <w:fldChar w:fldCharType="end"/>
          </w:r>
        </w:p>
        <w:p w14:paraId="5C2C947A">
          <w:pPr>
            <w:pStyle w:val="9"/>
            <w:tabs>
              <w:tab w:val="right" w:leader="dot" w:pos="8306"/>
            </w:tabs>
          </w:pPr>
          <w:r>
            <w:rPr>
              <w:rFonts w:hint="eastAsia"/>
              <w:lang w:val="en-US" w:eastAsia="zh-CN"/>
            </w:rPr>
            <w:fldChar w:fldCharType="begin"/>
          </w:r>
          <w:r>
            <w:rPr>
              <w:rFonts w:hint="eastAsia"/>
              <w:lang w:val="en-US" w:eastAsia="zh-CN"/>
            </w:rPr>
            <w:instrText xml:space="preserve"> HYPERLINK \l _Toc24415 </w:instrText>
          </w:r>
          <w:r>
            <w:rPr>
              <w:rFonts w:hint="eastAsia"/>
              <w:lang w:val="en-US" w:eastAsia="zh-CN"/>
            </w:rPr>
            <w:fldChar w:fldCharType="separate"/>
          </w:r>
          <w:r>
            <w:rPr>
              <w:rFonts w:hint="eastAsia"/>
              <w:bCs w:val="0"/>
              <w:lang w:val="en-US" w:eastAsia="zh-CN"/>
            </w:rPr>
            <w:t>6.1指挥系统保障</w:t>
          </w:r>
          <w:r>
            <w:tab/>
          </w:r>
          <w:r>
            <w:fldChar w:fldCharType="begin"/>
          </w:r>
          <w:r>
            <w:instrText xml:space="preserve"> PAGEREF _Toc24415 \h </w:instrText>
          </w:r>
          <w:r>
            <w:fldChar w:fldCharType="separate"/>
          </w:r>
          <w:r>
            <w:t>21</w:t>
          </w:r>
          <w:r>
            <w:fldChar w:fldCharType="end"/>
          </w:r>
          <w:r>
            <w:rPr>
              <w:rFonts w:hint="eastAsia"/>
              <w:lang w:val="en-US" w:eastAsia="zh-CN"/>
            </w:rPr>
            <w:fldChar w:fldCharType="end"/>
          </w:r>
        </w:p>
        <w:p w14:paraId="00EEAC9F">
          <w:pPr>
            <w:pStyle w:val="9"/>
            <w:tabs>
              <w:tab w:val="right" w:leader="dot" w:pos="8306"/>
            </w:tabs>
          </w:pPr>
          <w:r>
            <w:rPr>
              <w:rFonts w:hint="eastAsia"/>
              <w:lang w:val="en-US" w:eastAsia="zh-CN"/>
            </w:rPr>
            <w:fldChar w:fldCharType="begin"/>
          </w:r>
          <w:r>
            <w:rPr>
              <w:rFonts w:hint="eastAsia"/>
              <w:lang w:val="en-US" w:eastAsia="zh-CN"/>
            </w:rPr>
            <w:instrText xml:space="preserve"> HYPERLINK \l _Toc22837 </w:instrText>
          </w:r>
          <w:r>
            <w:rPr>
              <w:rFonts w:hint="eastAsia"/>
              <w:lang w:val="en-US" w:eastAsia="zh-CN"/>
            </w:rPr>
            <w:fldChar w:fldCharType="separate"/>
          </w:r>
          <w:r>
            <w:rPr>
              <w:rFonts w:hint="eastAsia"/>
              <w:bCs w:val="0"/>
              <w:lang w:val="en-US" w:eastAsia="zh-CN"/>
            </w:rPr>
            <w:t>6.2人力资源保障</w:t>
          </w:r>
          <w:r>
            <w:tab/>
          </w:r>
          <w:r>
            <w:fldChar w:fldCharType="begin"/>
          </w:r>
          <w:r>
            <w:instrText xml:space="preserve"> PAGEREF _Toc22837 \h </w:instrText>
          </w:r>
          <w:r>
            <w:fldChar w:fldCharType="separate"/>
          </w:r>
          <w:r>
            <w:t>21</w:t>
          </w:r>
          <w:r>
            <w:fldChar w:fldCharType="end"/>
          </w:r>
          <w:r>
            <w:rPr>
              <w:rFonts w:hint="eastAsia"/>
              <w:lang w:val="en-US" w:eastAsia="zh-CN"/>
            </w:rPr>
            <w:fldChar w:fldCharType="end"/>
          </w:r>
        </w:p>
        <w:p w14:paraId="24DD11D7">
          <w:pPr>
            <w:pStyle w:val="9"/>
            <w:tabs>
              <w:tab w:val="right" w:leader="dot" w:pos="8306"/>
            </w:tabs>
          </w:pPr>
          <w:r>
            <w:rPr>
              <w:rFonts w:hint="eastAsia"/>
              <w:lang w:val="en-US" w:eastAsia="zh-CN"/>
            </w:rPr>
            <w:fldChar w:fldCharType="begin"/>
          </w:r>
          <w:r>
            <w:rPr>
              <w:rFonts w:hint="eastAsia"/>
              <w:lang w:val="en-US" w:eastAsia="zh-CN"/>
            </w:rPr>
            <w:instrText xml:space="preserve"> HYPERLINK \l _Toc11250 </w:instrText>
          </w:r>
          <w:r>
            <w:rPr>
              <w:rFonts w:hint="eastAsia"/>
              <w:lang w:val="en-US" w:eastAsia="zh-CN"/>
            </w:rPr>
            <w:fldChar w:fldCharType="separate"/>
          </w:r>
          <w:r>
            <w:rPr>
              <w:rFonts w:hint="eastAsia"/>
              <w:bCs w:val="0"/>
              <w:lang w:val="en-US" w:eastAsia="zh-CN"/>
            </w:rPr>
            <w:t>6.3经费保障</w:t>
          </w:r>
          <w:r>
            <w:tab/>
          </w:r>
          <w:r>
            <w:fldChar w:fldCharType="begin"/>
          </w:r>
          <w:r>
            <w:instrText xml:space="preserve"> PAGEREF _Toc11250 \h </w:instrText>
          </w:r>
          <w:r>
            <w:fldChar w:fldCharType="separate"/>
          </w:r>
          <w:r>
            <w:t>21</w:t>
          </w:r>
          <w:r>
            <w:fldChar w:fldCharType="end"/>
          </w:r>
          <w:r>
            <w:rPr>
              <w:rFonts w:hint="eastAsia"/>
              <w:lang w:val="en-US" w:eastAsia="zh-CN"/>
            </w:rPr>
            <w:fldChar w:fldCharType="end"/>
          </w:r>
        </w:p>
        <w:p w14:paraId="3E03E3D9">
          <w:pPr>
            <w:pStyle w:val="9"/>
            <w:tabs>
              <w:tab w:val="right" w:leader="dot" w:pos="8306"/>
            </w:tabs>
          </w:pPr>
          <w:r>
            <w:rPr>
              <w:rFonts w:hint="eastAsia"/>
              <w:lang w:val="en-US" w:eastAsia="zh-CN"/>
            </w:rPr>
            <w:fldChar w:fldCharType="begin"/>
          </w:r>
          <w:r>
            <w:rPr>
              <w:rFonts w:hint="eastAsia"/>
              <w:lang w:val="en-US" w:eastAsia="zh-CN"/>
            </w:rPr>
            <w:instrText xml:space="preserve"> HYPERLINK \l _Toc25390 </w:instrText>
          </w:r>
          <w:r>
            <w:rPr>
              <w:rFonts w:hint="eastAsia"/>
              <w:lang w:val="en-US" w:eastAsia="zh-CN"/>
            </w:rPr>
            <w:fldChar w:fldCharType="separate"/>
          </w:r>
          <w:r>
            <w:rPr>
              <w:rFonts w:hint="eastAsia"/>
              <w:bCs w:val="0"/>
              <w:lang w:val="en-US" w:eastAsia="zh-CN"/>
            </w:rPr>
            <w:t>6.4物资保障</w:t>
          </w:r>
          <w:r>
            <w:tab/>
          </w:r>
          <w:r>
            <w:fldChar w:fldCharType="begin"/>
          </w:r>
          <w:r>
            <w:instrText xml:space="preserve"> PAGEREF _Toc25390 \h </w:instrText>
          </w:r>
          <w:r>
            <w:fldChar w:fldCharType="separate"/>
          </w:r>
          <w:r>
            <w:t>22</w:t>
          </w:r>
          <w:r>
            <w:fldChar w:fldCharType="end"/>
          </w:r>
          <w:r>
            <w:rPr>
              <w:rFonts w:hint="eastAsia"/>
              <w:lang w:val="en-US" w:eastAsia="zh-CN"/>
            </w:rPr>
            <w:fldChar w:fldCharType="end"/>
          </w:r>
        </w:p>
        <w:p w14:paraId="1D039657">
          <w:pPr>
            <w:pStyle w:val="9"/>
            <w:tabs>
              <w:tab w:val="right" w:leader="dot" w:pos="8306"/>
            </w:tabs>
          </w:pPr>
          <w:r>
            <w:rPr>
              <w:rFonts w:hint="eastAsia"/>
              <w:lang w:val="en-US" w:eastAsia="zh-CN"/>
            </w:rPr>
            <w:fldChar w:fldCharType="begin"/>
          </w:r>
          <w:r>
            <w:rPr>
              <w:rFonts w:hint="eastAsia"/>
              <w:lang w:val="en-US" w:eastAsia="zh-CN"/>
            </w:rPr>
            <w:instrText xml:space="preserve"> HYPERLINK \l _Toc7819 </w:instrText>
          </w:r>
          <w:r>
            <w:rPr>
              <w:rFonts w:hint="eastAsia"/>
              <w:lang w:val="en-US" w:eastAsia="zh-CN"/>
            </w:rPr>
            <w:fldChar w:fldCharType="separate"/>
          </w:r>
          <w:r>
            <w:rPr>
              <w:rFonts w:hint="eastAsia"/>
              <w:bCs w:val="0"/>
              <w:lang w:val="en-US" w:eastAsia="zh-CN"/>
            </w:rPr>
            <w:t>6.5医疗卫生保障</w:t>
          </w:r>
          <w:r>
            <w:tab/>
          </w:r>
          <w:r>
            <w:fldChar w:fldCharType="begin"/>
          </w:r>
          <w:r>
            <w:instrText xml:space="preserve"> PAGEREF _Toc7819 \h </w:instrText>
          </w:r>
          <w:r>
            <w:fldChar w:fldCharType="separate"/>
          </w:r>
          <w:r>
            <w:t>22</w:t>
          </w:r>
          <w:r>
            <w:fldChar w:fldCharType="end"/>
          </w:r>
          <w:r>
            <w:rPr>
              <w:rFonts w:hint="eastAsia"/>
              <w:lang w:val="en-US" w:eastAsia="zh-CN"/>
            </w:rPr>
            <w:fldChar w:fldCharType="end"/>
          </w:r>
        </w:p>
        <w:p w14:paraId="0B7714DB">
          <w:pPr>
            <w:pStyle w:val="9"/>
            <w:tabs>
              <w:tab w:val="right" w:leader="dot" w:pos="8306"/>
            </w:tabs>
          </w:pPr>
          <w:r>
            <w:rPr>
              <w:rFonts w:hint="eastAsia"/>
              <w:lang w:val="en-US" w:eastAsia="zh-CN"/>
            </w:rPr>
            <w:fldChar w:fldCharType="begin"/>
          </w:r>
          <w:r>
            <w:rPr>
              <w:rFonts w:hint="eastAsia"/>
              <w:lang w:val="en-US" w:eastAsia="zh-CN"/>
            </w:rPr>
            <w:instrText xml:space="preserve"> HYPERLINK \l _Toc15090 </w:instrText>
          </w:r>
          <w:r>
            <w:rPr>
              <w:rFonts w:hint="eastAsia"/>
              <w:lang w:val="en-US" w:eastAsia="zh-CN"/>
            </w:rPr>
            <w:fldChar w:fldCharType="separate"/>
          </w:r>
          <w:r>
            <w:rPr>
              <w:rFonts w:hint="eastAsia"/>
              <w:bCs w:val="0"/>
              <w:lang w:val="en-US" w:eastAsia="zh-CN"/>
            </w:rPr>
            <w:t>6.6交通运输保障</w:t>
          </w:r>
          <w:r>
            <w:tab/>
          </w:r>
          <w:r>
            <w:fldChar w:fldCharType="begin"/>
          </w:r>
          <w:r>
            <w:instrText xml:space="preserve"> PAGEREF _Toc15090 \h </w:instrText>
          </w:r>
          <w:r>
            <w:fldChar w:fldCharType="separate"/>
          </w:r>
          <w:r>
            <w:t>22</w:t>
          </w:r>
          <w:r>
            <w:fldChar w:fldCharType="end"/>
          </w:r>
          <w:r>
            <w:rPr>
              <w:rFonts w:hint="eastAsia"/>
              <w:lang w:val="en-US" w:eastAsia="zh-CN"/>
            </w:rPr>
            <w:fldChar w:fldCharType="end"/>
          </w:r>
        </w:p>
        <w:p w14:paraId="15051E71">
          <w:pPr>
            <w:pStyle w:val="9"/>
            <w:tabs>
              <w:tab w:val="right" w:leader="dot" w:pos="8306"/>
            </w:tabs>
          </w:pPr>
          <w:r>
            <w:rPr>
              <w:rFonts w:hint="eastAsia"/>
              <w:lang w:val="en-US" w:eastAsia="zh-CN"/>
            </w:rPr>
            <w:fldChar w:fldCharType="begin"/>
          </w:r>
          <w:r>
            <w:rPr>
              <w:rFonts w:hint="eastAsia"/>
              <w:lang w:val="en-US" w:eastAsia="zh-CN"/>
            </w:rPr>
            <w:instrText xml:space="preserve"> HYPERLINK \l _Toc25909 </w:instrText>
          </w:r>
          <w:r>
            <w:rPr>
              <w:rFonts w:hint="eastAsia"/>
              <w:lang w:val="en-US" w:eastAsia="zh-CN"/>
            </w:rPr>
            <w:fldChar w:fldCharType="separate"/>
          </w:r>
          <w:r>
            <w:rPr>
              <w:rFonts w:hint="eastAsia"/>
              <w:bCs w:val="0"/>
              <w:lang w:val="en-US" w:eastAsia="zh-CN"/>
            </w:rPr>
            <w:t>6.7其他应急保障</w:t>
          </w:r>
          <w:r>
            <w:tab/>
          </w:r>
          <w:r>
            <w:fldChar w:fldCharType="begin"/>
          </w:r>
          <w:r>
            <w:instrText xml:space="preserve"> PAGEREF _Toc25909 \h </w:instrText>
          </w:r>
          <w:r>
            <w:fldChar w:fldCharType="separate"/>
          </w:r>
          <w:r>
            <w:t>23</w:t>
          </w:r>
          <w:r>
            <w:fldChar w:fldCharType="end"/>
          </w:r>
          <w:r>
            <w:rPr>
              <w:rFonts w:hint="eastAsia"/>
              <w:lang w:val="en-US" w:eastAsia="zh-CN"/>
            </w:rPr>
            <w:fldChar w:fldCharType="end"/>
          </w:r>
        </w:p>
        <w:p w14:paraId="5768D89B">
          <w:pPr>
            <w:pStyle w:val="7"/>
            <w:tabs>
              <w:tab w:val="right" w:leader="dot" w:pos="8306"/>
            </w:tabs>
          </w:pPr>
          <w:r>
            <w:rPr>
              <w:rFonts w:hint="eastAsia"/>
              <w:lang w:val="en-US" w:eastAsia="zh-CN"/>
            </w:rPr>
            <w:fldChar w:fldCharType="begin"/>
          </w:r>
          <w:r>
            <w:rPr>
              <w:rFonts w:hint="eastAsia"/>
              <w:lang w:val="en-US" w:eastAsia="zh-CN"/>
            </w:rPr>
            <w:instrText xml:space="preserve"> HYPERLINK \l _Toc26426 </w:instrText>
          </w:r>
          <w:r>
            <w:rPr>
              <w:rFonts w:hint="eastAsia"/>
              <w:lang w:val="en-US" w:eastAsia="zh-CN"/>
            </w:rPr>
            <w:fldChar w:fldCharType="separate"/>
          </w:r>
          <w:r>
            <w:rPr>
              <w:rFonts w:hint="eastAsia"/>
              <w:lang w:val="en-US" w:eastAsia="zh-CN"/>
            </w:rPr>
            <w:t>七、附则</w:t>
          </w:r>
          <w:r>
            <w:tab/>
          </w:r>
          <w:r>
            <w:fldChar w:fldCharType="begin"/>
          </w:r>
          <w:r>
            <w:instrText xml:space="preserve"> PAGEREF _Toc26426 \h </w:instrText>
          </w:r>
          <w:r>
            <w:fldChar w:fldCharType="separate"/>
          </w:r>
          <w:r>
            <w:t>23</w:t>
          </w:r>
          <w:r>
            <w:fldChar w:fldCharType="end"/>
          </w:r>
          <w:r>
            <w:rPr>
              <w:rFonts w:hint="eastAsia"/>
              <w:lang w:val="en-US" w:eastAsia="zh-CN"/>
            </w:rPr>
            <w:fldChar w:fldCharType="end"/>
          </w:r>
        </w:p>
        <w:p w14:paraId="14FF7BF3">
          <w:pPr>
            <w:pStyle w:val="7"/>
            <w:tabs>
              <w:tab w:val="right" w:leader="dot" w:pos="8306"/>
            </w:tabs>
          </w:pPr>
          <w:r>
            <w:rPr>
              <w:rFonts w:hint="eastAsia"/>
              <w:lang w:val="en-US" w:eastAsia="zh-CN"/>
            </w:rPr>
            <w:fldChar w:fldCharType="begin"/>
          </w:r>
          <w:r>
            <w:rPr>
              <w:rFonts w:hint="eastAsia"/>
              <w:lang w:val="en-US" w:eastAsia="zh-CN"/>
            </w:rPr>
            <w:instrText xml:space="preserve"> HYPERLINK \l _Toc8496 </w:instrText>
          </w:r>
          <w:r>
            <w:rPr>
              <w:rFonts w:hint="eastAsia"/>
              <w:lang w:val="en-US" w:eastAsia="zh-CN"/>
            </w:rPr>
            <w:fldChar w:fldCharType="separate"/>
          </w:r>
          <w:r>
            <w:rPr>
              <w:rFonts w:hint="eastAsia"/>
              <w:lang w:val="en-US" w:eastAsia="zh-CN"/>
            </w:rPr>
            <w:t>八、 附件</w:t>
          </w:r>
          <w:r>
            <w:tab/>
          </w:r>
          <w:r>
            <w:fldChar w:fldCharType="begin"/>
          </w:r>
          <w:r>
            <w:instrText xml:space="preserve"> PAGEREF _Toc8496 \h </w:instrText>
          </w:r>
          <w:r>
            <w:fldChar w:fldCharType="separate"/>
          </w:r>
          <w:r>
            <w:t>24</w:t>
          </w:r>
          <w:r>
            <w:fldChar w:fldCharType="end"/>
          </w:r>
          <w:r>
            <w:rPr>
              <w:rFonts w:hint="eastAsia"/>
              <w:lang w:val="en-US" w:eastAsia="zh-CN"/>
            </w:rPr>
            <w:fldChar w:fldCharType="end"/>
          </w:r>
        </w:p>
        <w:p w14:paraId="721CCC6B">
          <w:pPr>
            <w:pStyle w:val="12"/>
            <w:ind w:left="0" w:leftChars="0" w:firstLine="0" w:firstLineChars="0"/>
            <w:rPr>
              <w:rFonts w:hint="eastAsia" w:ascii="仿宋_GB2312" w:hAnsi="微软雅黑" w:eastAsia="仿宋_GB2312" w:cs="华文中宋"/>
              <w:b/>
              <w:kern w:val="2"/>
              <w:sz w:val="32"/>
              <w:szCs w:val="20"/>
              <w:lang w:val="en-US" w:eastAsia="zh-CN" w:bidi="ar-SA"/>
            </w:rPr>
          </w:pPr>
          <w:r>
            <w:rPr>
              <w:rFonts w:hint="eastAsia"/>
              <w:lang w:val="en-US" w:eastAsia="zh-CN"/>
            </w:rPr>
            <w:fldChar w:fldCharType="end"/>
          </w:r>
        </w:p>
      </w:sdtContent>
    </w:sdt>
    <w:p w14:paraId="7DFF3877">
      <w:pPr>
        <w:pStyle w:val="11"/>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sz w:val="32"/>
        </w:rPr>
      </w:pPr>
      <w:bookmarkStart w:id="0" w:name="_Toc10441"/>
      <w:bookmarkStart w:id="1" w:name="_Toc111018565"/>
      <w:bookmarkStart w:id="2" w:name="_Toc30372"/>
      <w:bookmarkStart w:id="3" w:name="_Toc16372"/>
      <w:bookmarkStart w:id="4" w:name="_Toc111018566"/>
      <w:r>
        <w:rPr>
          <w:rFonts w:hint="eastAsia"/>
          <w:sz w:val="32"/>
          <w:lang w:val="en-US" w:eastAsia="zh-CN"/>
        </w:rPr>
        <w:t>一</w:t>
      </w:r>
      <w:r>
        <w:rPr>
          <w:rFonts w:hint="eastAsia"/>
          <w:sz w:val="32"/>
          <w:lang w:eastAsia="zh-CN"/>
        </w:rPr>
        <w:t>、</w:t>
      </w:r>
      <w:r>
        <w:rPr>
          <w:sz w:val="32"/>
        </w:rPr>
        <w:t>总则</w:t>
      </w:r>
      <w:bookmarkEnd w:id="0"/>
      <w:bookmarkEnd w:id="1"/>
      <w:bookmarkEnd w:id="2"/>
    </w:p>
    <w:p w14:paraId="27378020">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b/>
          <w:bCs w:val="0"/>
          <w:sz w:val="32"/>
        </w:rPr>
      </w:pPr>
      <w:bookmarkStart w:id="5" w:name="_Toc20332"/>
      <w:r>
        <w:rPr>
          <w:b/>
          <w:bCs w:val="0"/>
          <w:sz w:val="32"/>
        </w:rPr>
        <w:t>1.1编制目的</w:t>
      </w:r>
      <w:bookmarkEnd w:id="3"/>
      <w:bookmarkEnd w:id="4"/>
      <w:bookmarkEnd w:id="5"/>
    </w:p>
    <w:p w14:paraId="52F2E3B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健全本区危险化学品生产安全事故应急工作机制，规范应急响应程序，依法、科学、高效、有序应对危险化学品生产安全事故，最大限度地减少可能造成的人员伤亡和财产损失，保障社会持续稳定发展和城市安全运行，编制本预案。</w:t>
      </w:r>
    </w:p>
    <w:p w14:paraId="72318B00">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b/>
          <w:bCs w:val="0"/>
          <w:sz w:val="32"/>
        </w:rPr>
      </w:pPr>
      <w:bookmarkStart w:id="6" w:name="_Toc111018567"/>
      <w:bookmarkStart w:id="7" w:name="_Toc2206"/>
      <w:bookmarkStart w:id="8" w:name="_Toc25265"/>
      <w:r>
        <w:rPr>
          <w:b/>
          <w:bCs w:val="0"/>
          <w:sz w:val="32"/>
        </w:rPr>
        <w:t>1.2编制依据</w:t>
      </w:r>
      <w:bookmarkEnd w:id="6"/>
      <w:bookmarkEnd w:id="7"/>
      <w:bookmarkEnd w:id="8"/>
    </w:p>
    <w:p w14:paraId="7B742E07">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28"/>
          <w:szCs w:val="28"/>
          <w:lang w:val="en-US" w:eastAsia="zh-CN"/>
        </w:rPr>
      </w:pPr>
      <w:r>
        <w:rPr>
          <w:rFonts w:hint="eastAsia" w:ascii="仿宋_GB2312" w:cs="Times New Roman"/>
          <w:b w:val="0"/>
          <w:bCs w:val="0"/>
          <w:color w:val="000000"/>
          <w:kern w:val="0"/>
          <w:sz w:val="32"/>
          <w:szCs w:val="32"/>
          <w:lang w:val="en-US" w:eastAsia="zh-CN"/>
        </w:rPr>
        <w:t>国家、省、市和区现行有关法律法规和规定（见附件</w:t>
      </w:r>
      <w:r>
        <w:rPr>
          <w:rFonts w:hint="default" w:ascii="仿宋_GB2312" w:cs="Times New Roman"/>
          <w:b w:val="0"/>
          <w:bCs w:val="0"/>
          <w:color w:val="000000"/>
          <w:kern w:val="0"/>
          <w:sz w:val="32"/>
          <w:szCs w:val="32"/>
          <w:lang w:val="en-US" w:eastAsia="zh-CN"/>
        </w:rPr>
        <w:t>1</w:t>
      </w:r>
      <w:r>
        <w:rPr>
          <w:rFonts w:hint="eastAsia" w:ascii="仿宋_GB2312" w:cs="Times New Roman"/>
          <w:b w:val="0"/>
          <w:bCs w:val="0"/>
          <w:color w:val="000000"/>
          <w:kern w:val="0"/>
          <w:sz w:val="32"/>
          <w:szCs w:val="32"/>
          <w:lang w:val="en-US" w:eastAsia="zh-CN"/>
        </w:rPr>
        <w:t>）。</w:t>
      </w:r>
    </w:p>
    <w:p w14:paraId="1B01F331">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9" w:name="_Toc13596"/>
      <w:bookmarkStart w:id="10" w:name="_Toc8754"/>
      <w:bookmarkStart w:id="11" w:name="_Toc111018568"/>
      <w:r>
        <w:rPr>
          <w:b/>
          <w:bCs w:val="0"/>
          <w:sz w:val="32"/>
        </w:rPr>
        <w:t>1.3</w:t>
      </w:r>
      <w:r>
        <w:rPr>
          <w:rFonts w:hint="eastAsia"/>
          <w:b/>
          <w:bCs w:val="0"/>
          <w:sz w:val="32"/>
          <w:lang w:val="en-US" w:eastAsia="zh-CN"/>
        </w:rPr>
        <w:t>事故分类分级</w:t>
      </w:r>
      <w:bookmarkEnd w:id="9"/>
      <w:bookmarkEnd w:id="10"/>
      <w:bookmarkEnd w:id="11"/>
    </w:p>
    <w:p w14:paraId="7CB1F81A">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本预案所称的危险化学品事故，指危险化学品（包含烟花爆竹）在生产、经营、储存、使用、运输等过程中，发生的火灾、爆炸、泄漏、中毒等造成危害人民生命财产和社会安全的生产安全事故。</w:t>
      </w:r>
    </w:p>
    <w:p w14:paraId="6EFF05A8">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1.3.1常见危险化学品事故类别：</w:t>
      </w:r>
    </w:p>
    <w:p w14:paraId="61D2EA0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1</w:t>
      </w:r>
      <w:r>
        <w:rPr>
          <w:rFonts w:hint="eastAsia" w:ascii="仿宋_GB2312" w:cs="Times New Roman"/>
          <w:b w:val="0"/>
          <w:bCs w:val="0"/>
          <w:color w:val="000000"/>
          <w:kern w:val="0"/>
          <w:sz w:val="32"/>
          <w:szCs w:val="32"/>
          <w:lang w:val="en-US" w:eastAsia="zh-CN"/>
        </w:rPr>
        <w:t>）危险化学品火灾事故：指燃烧物质主要是危险化学品的火灾事故。具体包括：易燃液体、易燃固体、自燃物品、遇湿易燃物品以及其他危险化学品火灾。</w:t>
      </w:r>
    </w:p>
    <w:p w14:paraId="1BAC9F1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2</w:t>
      </w:r>
      <w:r>
        <w:rPr>
          <w:rFonts w:hint="eastAsia" w:ascii="仿宋_GB2312" w:cs="Times New Roman"/>
          <w:b w:val="0"/>
          <w:bCs w:val="0"/>
          <w:color w:val="000000"/>
          <w:kern w:val="0"/>
          <w:sz w:val="32"/>
          <w:szCs w:val="32"/>
          <w:lang w:val="en-US" w:eastAsia="zh-CN"/>
        </w:rPr>
        <w:t>）危险化学品爆炸事故：指危险化学品发生化学反应的爆炸事故或液化气体和压缩气体的物理爆炸事故。具体包括：易燃固体、自燃物品、遇湿易燃物品、易燃液体、易燃气体的火灾爆炸，危险化学品产生的粉尘、气体、挥发物的爆炸，液化气体和压缩气体的物理爆炸以及其他化学反应爆炸。</w:t>
      </w:r>
    </w:p>
    <w:p w14:paraId="05BAE90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3</w:t>
      </w:r>
      <w:r>
        <w:rPr>
          <w:rFonts w:hint="eastAsia" w:ascii="仿宋_GB2312" w:cs="Times New Roman"/>
          <w:b w:val="0"/>
          <w:bCs w:val="0"/>
          <w:color w:val="000000"/>
          <w:kern w:val="0"/>
          <w:sz w:val="32"/>
          <w:szCs w:val="32"/>
          <w:lang w:val="en-US" w:eastAsia="zh-CN"/>
        </w:rPr>
        <w:t>）危险化学品中毒和窒息事故：主要指人体吸入、食入或接触有毒有害化学品或者化学品反应的产物，而导致的中毒和窒息事故。具体包括：吸入中毒事故（中毒途径为呼吸道）、接触中毒事故（中毒途径为皮肤、眼睛等）、误食中毒事故（中毒途径为消化道）以及其他中毒和窒息事故。</w:t>
      </w:r>
    </w:p>
    <w:p w14:paraId="6963EC9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4</w:t>
      </w:r>
      <w:r>
        <w:rPr>
          <w:rFonts w:hint="eastAsia" w:ascii="仿宋_GB2312" w:cs="Times New Roman"/>
          <w:b w:val="0"/>
          <w:bCs w:val="0"/>
          <w:color w:val="000000"/>
          <w:kern w:val="0"/>
          <w:sz w:val="32"/>
          <w:szCs w:val="32"/>
          <w:lang w:val="en-US" w:eastAsia="zh-CN"/>
        </w:rPr>
        <w:t>）危险化学品灼伤事故：主要指腐蚀性危险化学品意外与人体接触，在短时间内即在人体被接触表面发生化学反应，造成明显破坏的事故。腐蚀品包括酸性腐蚀品、碱性腐蚀品和其他不显酸碱性的腐蚀品。灼伤类型包括：化学品灼伤与物理灼伤。</w:t>
      </w:r>
    </w:p>
    <w:p w14:paraId="60EDF2E7">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5</w:t>
      </w:r>
      <w:r>
        <w:rPr>
          <w:rFonts w:hint="eastAsia" w:ascii="仿宋_GB2312" w:cs="Times New Roman"/>
          <w:b w:val="0"/>
          <w:bCs w:val="0"/>
          <w:color w:val="000000"/>
          <w:kern w:val="0"/>
          <w:sz w:val="32"/>
          <w:szCs w:val="32"/>
          <w:lang w:val="en-US" w:eastAsia="zh-CN"/>
        </w:rPr>
        <w:t>）危险化学品泄漏事故：主要指气体或液体危险化学品发生了一定规模的泄漏，虽然没有发展成火灾、爆炸或中毒事故，但造成了严重的财产损失或环境污染等后果的危险化学品事故。危险化学品泄漏事故一旦失控，往往造成重大火灾、爆炸或中毒事故。</w:t>
      </w:r>
    </w:p>
    <w:p w14:paraId="72716E5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1.3.</w:t>
      </w:r>
      <w:r>
        <w:rPr>
          <w:rFonts w:hint="default" w:ascii="仿宋_GB2312" w:cs="Times New Roman"/>
          <w:b w:val="0"/>
          <w:bCs w:val="0"/>
          <w:color w:val="000000"/>
          <w:kern w:val="0"/>
          <w:sz w:val="32"/>
          <w:szCs w:val="32"/>
          <w:lang w:val="en-US" w:eastAsia="zh-CN"/>
        </w:rPr>
        <w:t>2</w:t>
      </w:r>
      <w:r>
        <w:rPr>
          <w:rFonts w:hint="eastAsia" w:ascii="仿宋_GB2312" w:cs="Times New Roman"/>
          <w:b w:val="0"/>
          <w:bCs w:val="0"/>
          <w:color w:val="000000"/>
          <w:kern w:val="0"/>
          <w:sz w:val="32"/>
          <w:szCs w:val="32"/>
          <w:lang w:val="en-US" w:eastAsia="zh-CN"/>
        </w:rPr>
        <w:t>根据国家安全监管总局制定的《危险化学品事故灾难应急预案》，按照危险化学品事故的可控性、严重程度和影响范围，本区危险化学品事故分为四级：</w:t>
      </w:r>
      <w:r>
        <w:rPr>
          <w:rFonts w:hint="default" w:ascii="仿宋_GB2312" w:cs="Times New Roman"/>
          <w:b w:val="0"/>
          <w:bCs w:val="0"/>
          <w:color w:val="000000"/>
          <w:kern w:val="0"/>
          <w:sz w:val="32"/>
          <w:szCs w:val="32"/>
          <w:lang w:val="en-US" w:eastAsia="zh-CN"/>
        </w:rPr>
        <w:t>I</w:t>
      </w:r>
      <w:r>
        <w:rPr>
          <w:rFonts w:hint="eastAsia" w:ascii="仿宋_GB2312" w:cs="Times New Roman"/>
          <w:b w:val="0"/>
          <w:bCs w:val="0"/>
          <w:color w:val="000000"/>
          <w:kern w:val="0"/>
          <w:sz w:val="32"/>
          <w:szCs w:val="32"/>
          <w:lang w:val="en-US" w:eastAsia="zh-CN"/>
        </w:rPr>
        <w:t>级（特别重大）、Ⅱ级（重大）、Ⅲ级（较大）和Ⅳ级（一般）。</w:t>
      </w:r>
    </w:p>
    <w:p w14:paraId="386B05F7">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1</w:t>
      </w: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I</w:t>
      </w:r>
      <w:r>
        <w:rPr>
          <w:rFonts w:hint="eastAsia" w:ascii="仿宋_GB2312" w:cs="Times New Roman"/>
          <w:b w:val="0"/>
          <w:bCs w:val="0"/>
          <w:color w:val="000000"/>
          <w:kern w:val="0"/>
          <w:sz w:val="32"/>
          <w:szCs w:val="32"/>
          <w:lang w:val="en-US" w:eastAsia="zh-CN"/>
        </w:rPr>
        <w:t>级（特别重大）危险化学品事故</w:t>
      </w:r>
    </w:p>
    <w:p w14:paraId="5179FD5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有下列情况之一的，为</w:t>
      </w:r>
      <w:r>
        <w:rPr>
          <w:rFonts w:hint="default" w:ascii="仿宋_GB2312" w:cs="Times New Roman"/>
          <w:b w:val="0"/>
          <w:bCs w:val="0"/>
          <w:color w:val="000000"/>
          <w:kern w:val="0"/>
          <w:sz w:val="32"/>
          <w:szCs w:val="32"/>
          <w:lang w:val="en-US" w:eastAsia="zh-CN"/>
        </w:rPr>
        <w:t>I</w:t>
      </w:r>
      <w:r>
        <w:rPr>
          <w:rFonts w:hint="eastAsia" w:ascii="仿宋_GB2312" w:cs="Times New Roman"/>
          <w:b w:val="0"/>
          <w:bCs w:val="0"/>
          <w:color w:val="000000"/>
          <w:kern w:val="0"/>
          <w:sz w:val="32"/>
          <w:szCs w:val="32"/>
          <w:lang w:val="en-US" w:eastAsia="zh-CN"/>
        </w:rPr>
        <w:t>级（特别重大）危险化学品事故：</w:t>
      </w:r>
    </w:p>
    <w:p w14:paraId="3DDE25C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①造成死亡（含失踪，下同）</w:t>
      </w:r>
      <w:r>
        <w:rPr>
          <w:rFonts w:hint="default" w:ascii="仿宋_GB2312" w:cs="Times New Roman"/>
          <w:b w:val="0"/>
          <w:bCs w:val="0"/>
          <w:color w:val="000000"/>
          <w:kern w:val="0"/>
          <w:sz w:val="32"/>
          <w:szCs w:val="32"/>
          <w:lang w:val="en-US" w:eastAsia="zh-CN"/>
        </w:rPr>
        <w:t>30</w:t>
      </w:r>
      <w:r>
        <w:rPr>
          <w:rFonts w:hint="eastAsia" w:ascii="仿宋_GB2312" w:cs="Times New Roman"/>
          <w:b w:val="0"/>
          <w:bCs w:val="0"/>
          <w:color w:val="000000"/>
          <w:kern w:val="0"/>
          <w:sz w:val="32"/>
          <w:szCs w:val="32"/>
          <w:lang w:val="en-US" w:eastAsia="zh-CN"/>
        </w:rPr>
        <w:t>人以上，或危及</w:t>
      </w:r>
      <w:r>
        <w:rPr>
          <w:rFonts w:hint="default" w:ascii="仿宋_GB2312" w:cs="Times New Roman"/>
          <w:b w:val="0"/>
          <w:bCs w:val="0"/>
          <w:color w:val="000000"/>
          <w:kern w:val="0"/>
          <w:sz w:val="32"/>
          <w:szCs w:val="32"/>
          <w:lang w:val="en-US" w:eastAsia="zh-CN"/>
        </w:rPr>
        <w:t>30</w:t>
      </w:r>
      <w:r>
        <w:rPr>
          <w:rFonts w:hint="eastAsia" w:ascii="仿宋_GB2312" w:cs="Times New Roman"/>
          <w:b w:val="0"/>
          <w:bCs w:val="0"/>
          <w:color w:val="000000"/>
          <w:kern w:val="0"/>
          <w:sz w:val="32"/>
          <w:szCs w:val="32"/>
          <w:lang w:val="en-US" w:eastAsia="zh-CN"/>
        </w:rPr>
        <w:t>人以上生命安全，或中毒（重伤）</w:t>
      </w:r>
      <w:r>
        <w:rPr>
          <w:rFonts w:hint="default" w:ascii="仿宋_GB2312" w:cs="Times New Roman"/>
          <w:b w:val="0"/>
          <w:bCs w:val="0"/>
          <w:color w:val="000000"/>
          <w:kern w:val="0"/>
          <w:sz w:val="32"/>
          <w:szCs w:val="32"/>
          <w:lang w:val="en-US" w:eastAsia="zh-CN"/>
        </w:rPr>
        <w:t>100</w:t>
      </w:r>
      <w:r>
        <w:rPr>
          <w:rFonts w:hint="eastAsia" w:ascii="仿宋_GB2312" w:cs="Times New Roman"/>
          <w:b w:val="0"/>
          <w:bCs w:val="0"/>
          <w:color w:val="000000"/>
          <w:kern w:val="0"/>
          <w:sz w:val="32"/>
          <w:szCs w:val="32"/>
          <w:lang w:val="en-US" w:eastAsia="zh-CN"/>
        </w:rPr>
        <w:t>人以上，或直接经济损失</w:t>
      </w:r>
      <w:r>
        <w:rPr>
          <w:rFonts w:hint="default" w:ascii="仿宋_GB2312" w:cs="Times New Roman"/>
          <w:b w:val="0"/>
          <w:bCs w:val="0"/>
          <w:color w:val="000000"/>
          <w:kern w:val="0"/>
          <w:sz w:val="32"/>
          <w:szCs w:val="32"/>
          <w:lang w:val="en-US" w:eastAsia="zh-CN"/>
        </w:rPr>
        <w:t>1</w:t>
      </w:r>
      <w:r>
        <w:rPr>
          <w:rFonts w:hint="eastAsia" w:ascii="仿宋_GB2312" w:cs="Times New Roman"/>
          <w:b w:val="0"/>
          <w:bCs w:val="0"/>
          <w:color w:val="000000"/>
          <w:kern w:val="0"/>
          <w:sz w:val="32"/>
          <w:szCs w:val="32"/>
          <w:lang w:val="en-US" w:eastAsia="zh-CN"/>
        </w:rPr>
        <w:t>亿元以上；</w:t>
      </w:r>
    </w:p>
    <w:p w14:paraId="0E15238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②需要紧急转移安置</w:t>
      </w:r>
      <w:r>
        <w:rPr>
          <w:rFonts w:hint="default" w:ascii="仿宋_GB2312" w:cs="Times New Roman"/>
          <w:b w:val="0"/>
          <w:bCs w:val="0"/>
          <w:color w:val="000000"/>
          <w:kern w:val="0"/>
          <w:sz w:val="32"/>
          <w:szCs w:val="32"/>
          <w:lang w:val="en-US" w:eastAsia="zh-CN"/>
        </w:rPr>
        <w:t>10</w:t>
      </w:r>
      <w:r>
        <w:rPr>
          <w:rFonts w:hint="eastAsia" w:ascii="仿宋_GB2312" w:cs="Times New Roman"/>
          <w:b w:val="0"/>
          <w:bCs w:val="0"/>
          <w:color w:val="000000"/>
          <w:kern w:val="0"/>
          <w:sz w:val="32"/>
          <w:szCs w:val="32"/>
          <w:lang w:val="en-US" w:eastAsia="zh-CN"/>
        </w:rPr>
        <w:t>万人以上。</w:t>
      </w:r>
    </w:p>
    <w:p w14:paraId="7139FBD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2</w:t>
      </w:r>
      <w:r>
        <w:rPr>
          <w:rFonts w:hint="eastAsia" w:ascii="仿宋_GB2312" w:cs="Times New Roman"/>
          <w:b w:val="0"/>
          <w:bCs w:val="0"/>
          <w:color w:val="000000"/>
          <w:kern w:val="0"/>
          <w:sz w:val="32"/>
          <w:szCs w:val="32"/>
          <w:lang w:val="en-US" w:eastAsia="zh-CN"/>
        </w:rPr>
        <w:t>）Ⅱ级（重大）危险化学品事故</w:t>
      </w:r>
    </w:p>
    <w:p w14:paraId="5B97A2D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有下列情况之一的，为Ⅱ级（重大）危险化学品事故：</w:t>
      </w:r>
    </w:p>
    <w:p w14:paraId="2F76F4C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①造成死亡</w:t>
      </w:r>
      <w:r>
        <w:rPr>
          <w:rFonts w:hint="default" w:ascii="仿宋_GB2312" w:cs="Times New Roman"/>
          <w:b w:val="0"/>
          <w:bCs w:val="0"/>
          <w:color w:val="000000"/>
          <w:kern w:val="0"/>
          <w:sz w:val="32"/>
          <w:szCs w:val="32"/>
          <w:lang w:val="en-US" w:eastAsia="zh-CN"/>
        </w:rPr>
        <w:t>10</w:t>
      </w:r>
      <w:r>
        <w:rPr>
          <w:rFonts w:hint="eastAsia" w:ascii="仿宋_GB2312" w:cs="Times New Roman"/>
          <w:b w:val="0"/>
          <w:bCs w:val="0"/>
          <w:color w:val="000000"/>
          <w:kern w:val="0"/>
          <w:sz w:val="32"/>
          <w:szCs w:val="32"/>
          <w:lang w:val="en-US" w:eastAsia="zh-CN"/>
        </w:rPr>
        <w:t>人以上、</w:t>
      </w:r>
      <w:r>
        <w:rPr>
          <w:rFonts w:hint="default" w:ascii="仿宋_GB2312" w:cs="Times New Roman"/>
          <w:b w:val="0"/>
          <w:bCs w:val="0"/>
          <w:color w:val="000000"/>
          <w:kern w:val="0"/>
          <w:sz w:val="32"/>
          <w:szCs w:val="32"/>
          <w:lang w:val="en-US" w:eastAsia="zh-CN"/>
        </w:rPr>
        <w:t>30</w:t>
      </w:r>
      <w:r>
        <w:rPr>
          <w:rFonts w:hint="eastAsia" w:ascii="仿宋_GB2312" w:cs="Times New Roman"/>
          <w:b w:val="0"/>
          <w:bCs w:val="0"/>
          <w:color w:val="000000"/>
          <w:kern w:val="0"/>
          <w:sz w:val="32"/>
          <w:szCs w:val="32"/>
          <w:lang w:val="en-US" w:eastAsia="zh-CN"/>
        </w:rPr>
        <w:t>人以下，或危及</w:t>
      </w:r>
      <w:r>
        <w:rPr>
          <w:rFonts w:hint="default" w:ascii="仿宋_GB2312" w:cs="Times New Roman"/>
          <w:b w:val="0"/>
          <w:bCs w:val="0"/>
          <w:color w:val="000000"/>
          <w:kern w:val="0"/>
          <w:sz w:val="32"/>
          <w:szCs w:val="32"/>
          <w:lang w:val="en-US" w:eastAsia="zh-CN"/>
        </w:rPr>
        <w:t>10</w:t>
      </w:r>
      <w:r>
        <w:rPr>
          <w:rFonts w:hint="eastAsia" w:ascii="仿宋_GB2312" w:cs="Times New Roman"/>
          <w:b w:val="0"/>
          <w:bCs w:val="0"/>
          <w:color w:val="000000"/>
          <w:kern w:val="0"/>
          <w:sz w:val="32"/>
          <w:szCs w:val="32"/>
          <w:lang w:val="en-US" w:eastAsia="zh-CN"/>
        </w:rPr>
        <w:t>人以上、</w:t>
      </w:r>
      <w:r>
        <w:rPr>
          <w:rFonts w:hint="default" w:ascii="仿宋_GB2312" w:cs="Times New Roman"/>
          <w:b w:val="0"/>
          <w:bCs w:val="0"/>
          <w:color w:val="000000"/>
          <w:kern w:val="0"/>
          <w:sz w:val="32"/>
          <w:szCs w:val="32"/>
          <w:lang w:val="en-US" w:eastAsia="zh-CN"/>
        </w:rPr>
        <w:t>30</w:t>
      </w:r>
      <w:r>
        <w:rPr>
          <w:rFonts w:hint="eastAsia" w:ascii="仿宋_GB2312" w:cs="Times New Roman"/>
          <w:b w:val="0"/>
          <w:bCs w:val="0"/>
          <w:color w:val="000000"/>
          <w:kern w:val="0"/>
          <w:sz w:val="32"/>
          <w:szCs w:val="32"/>
          <w:lang w:val="en-US" w:eastAsia="zh-CN"/>
        </w:rPr>
        <w:t>人以下生命安全，或中毒（重伤）</w:t>
      </w:r>
      <w:r>
        <w:rPr>
          <w:rFonts w:hint="default" w:ascii="仿宋_GB2312" w:cs="Times New Roman"/>
          <w:b w:val="0"/>
          <w:bCs w:val="0"/>
          <w:color w:val="000000"/>
          <w:kern w:val="0"/>
          <w:sz w:val="32"/>
          <w:szCs w:val="32"/>
          <w:lang w:val="en-US" w:eastAsia="zh-CN"/>
        </w:rPr>
        <w:t>50</w:t>
      </w:r>
      <w:r>
        <w:rPr>
          <w:rFonts w:hint="eastAsia" w:ascii="仿宋_GB2312" w:cs="Times New Roman"/>
          <w:b w:val="0"/>
          <w:bCs w:val="0"/>
          <w:color w:val="000000"/>
          <w:kern w:val="0"/>
          <w:sz w:val="32"/>
          <w:szCs w:val="32"/>
          <w:lang w:val="en-US" w:eastAsia="zh-CN"/>
        </w:rPr>
        <w:t>人以上、</w:t>
      </w:r>
      <w:r>
        <w:rPr>
          <w:rFonts w:hint="default" w:ascii="仿宋_GB2312" w:cs="Times New Roman"/>
          <w:b w:val="0"/>
          <w:bCs w:val="0"/>
          <w:color w:val="000000"/>
          <w:kern w:val="0"/>
          <w:sz w:val="32"/>
          <w:szCs w:val="32"/>
          <w:lang w:val="en-US" w:eastAsia="zh-CN"/>
        </w:rPr>
        <w:t>100</w:t>
      </w:r>
      <w:r>
        <w:rPr>
          <w:rFonts w:hint="eastAsia" w:ascii="仿宋_GB2312" w:cs="Times New Roman"/>
          <w:b w:val="0"/>
          <w:bCs w:val="0"/>
          <w:color w:val="000000"/>
          <w:kern w:val="0"/>
          <w:sz w:val="32"/>
          <w:szCs w:val="32"/>
          <w:lang w:val="en-US" w:eastAsia="zh-CN"/>
        </w:rPr>
        <w:t>人以下，或直接经济损失</w:t>
      </w:r>
      <w:r>
        <w:rPr>
          <w:rFonts w:hint="default" w:ascii="仿宋_GB2312" w:cs="Times New Roman"/>
          <w:b w:val="0"/>
          <w:bCs w:val="0"/>
          <w:color w:val="000000"/>
          <w:kern w:val="0"/>
          <w:sz w:val="32"/>
          <w:szCs w:val="32"/>
          <w:lang w:val="en-US" w:eastAsia="zh-CN"/>
        </w:rPr>
        <w:t>5000</w:t>
      </w:r>
      <w:r>
        <w:rPr>
          <w:rFonts w:hint="eastAsia" w:ascii="仿宋_GB2312" w:cs="Times New Roman"/>
          <w:b w:val="0"/>
          <w:bCs w:val="0"/>
          <w:color w:val="000000"/>
          <w:kern w:val="0"/>
          <w:sz w:val="32"/>
          <w:szCs w:val="32"/>
          <w:lang w:val="en-US" w:eastAsia="zh-CN"/>
        </w:rPr>
        <w:t>万元以上、</w:t>
      </w:r>
      <w:r>
        <w:rPr>
          <w:rFonts w:hint="default" w:ascii="仿宋_GB2312" w:cs="Times New Roman"/>
          <w:b w:val="0"/>
          <w:bCs w:val="0"/>
          <w:color w:val="000000"/>
          <w:kern w:val="0"/>
          <w:sz w:val="32"/>
          <w:szCs w:val="32"/>
          <w:lang w:val="en-US" w:eastAsia="zh-CN"/>
        </w:rPr>
        <w:t>1</w:t>
      </w:r>
      <w:r>
        <w:rPr>
          <w:rFonts w:hint="eastAsia" w:ascii="仿宋_GB2312" w:cs="Times New Roman"/>
          <w:b w:val="0"/>
          <w:bCs w:val="0"/>
          <w:color w:val="000000"/>
          <w:kern w:val="0"/>
          <w:sz w:val="32"/>
          <w:szCs w:val="32"/>
          <w:lang w:val="en-US" w:eastAsia="zh-CN"/>
        </w:rPr>
        <w:t>亿元以下；</w:t>
      </w:r>
    </w:p>
    <w:p w14:paraId="611E6C4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②需要紧急转移安置</w:t>
      </w:r>
      <w:r>
        <w:rPr>
          <w:rFonts w:hint="default" w:ascii="仿宋_GB2312" w:cs="Times New Roman"/>
          <w:b w:val="0"/>
          <w:bCs w:val="0"/>
          <w:color w:val="000000"/>
          <w:kern w:val="0"/>
          <w:sz w:val="32"/>
          <w:szCs w:val="32"/>
          <w:lang w:val="en-US" w:eastAsia="zh-CN"/>
        </w:rPr>
        <w:t>5</w:t>
      </w:r>
      <w:r>
        <w:rPr>
          <w:rFonts w:hint="eastAsia" w:ascii="仿宋_GB2312" w:cs="Times New Roman"/>
          <w:b w:val="0"/>
          <w:bCs w:val="0"/>
          <w:color w:val="000000"/>
          <w:kern w:val="0"/>
          <w:sz w:val="32"/>
          <w:szCs w:val="32"/>
          <w:lang w:val="en-US" w:eastAsia="zh-CN"/>
        </w:rPr>
        <w:t>万人以上、</w:t>
      </w:r>
      <w:r>
        <w:rPr>
          <w:rFonts w:hint="default" w:ascii="仿宋_GB2312" w:cs="Times New Roman"/>
          <w:b w:val="0"/>
          <w:bCs w:val="0"/>
          <w:color w:val="000000"/>
          <w:kern w:val="0"/>
          <w:sz w:val="32"/>
          <w:szCs w:val="32"/>
          <w:lang w:val="en-US" w:eastAsia="zh-CN"/>
        </w:rPr>
        <w:t>10</w:t>
      </w:r>
      <w:r>
        <w:rPr>
          <w:rFonts w:hint="eastAsia" w:ascii="仿宋_GB2312" w:cs="Times New Roman"/>
          <w:b w:val="0"/>
          <w:bCs w:val="0"/>
          <w:color w:val="000000"/>
          <w:kern w:val="0"/>
          <w:sz w:val="32"/>
          <w:szCs w:val="32"/>
          <w:lang w:val="en-US" w:eastAsia="zh-CN"/>
        </w:rPr>
        <w:t>万人以下；</w:t>
      </w:r>
    </w:p>
    <w:p w14:paraId="1B151309">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3</w:t>
      </w:r>
      <w:r>
        <w:rPr>
          <w:rFonts w:hint="eastAsia" w:ascii="仿宋_GB2312" w:cs="Times New Roman"/>
          <w:b w:val="0"/>
          <w:bCs w:val="0"/>
          <w:color w:val="000000"/>
          <w:kern w:val="0"/>
          <w:sz w:val="32"/>
          <w:szCs w:val="32"/>
          <w:lang w:val="en-US" w:eastAsia="zh-CN"/>
        </w:rPr>
        <w:t>）Ⅲ级（较大）危险化学品事故</w:t>
      </w:r>
    </w:p>
    <w:p w14:paraId="31700E5A">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有下列情况之一的，为Ⅲ级（较大）危险化学品事故：</w:t>
      </w:r>
    </w:p>
    <w:p w14:paraId="233D56D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①造成死亡</w:t>
      </w:r>
      <w:r>
        <w:rPr>
          <w:rFonts w:hint="default" w:ascii="仿宋_GB2312" w:cs="Times New Roman"/>
          <w:b w:val="0"/>
          <w:bCs w:val="0"/>
          <w:color w:val="000000"/>
          <w:kern w:val="0"/>
          <w:sz w:val="32"/>
          <w:szCs w:val="32"/>
          <w:lang w:val="en-US" w:eastAsia="zh-CN"/>
        </w:rPr>
        <w:t>3</w:t>
      </w:r>
      <w:r>
        <w:rPr>
          <w:rFonts w:hint="eastAsia" w:ascii="仿宋_GB2312" w:cs="Times New Roman"/>
          <w:b w:val="0"/>
          <w:bCs w:val="0"/>
          <w:color w:val="000000"/>
          <w:kern w:val="0"/>
          <w:sz w:val="32"/>
          <w:szCs w:val="32"/>
          <w:lang w:val="en-US" w:eastAsia="zh-CN"/>
        </w:rPr>
        <w:t>人以上、</w:t>
      </w:r>
      <w:r>
        <w:rPr>
          <w:rFonts w:hint="default" w:ascii="仿宋_GB2312" w:cs="Times New Roman"/>
          <w:b w:val="0"/>
          <w:bCs w:val="0"/>
          <w:color w:val="000000"/>
          <w:kern w:val="0"/>
          <w:sz w:val="32"/>
          <w:szCs w:val="32"/>
          <w:lang w:val="en-US" w:eastAsia="zh-CN"/>
        </w:rPr>
        <w:t>10</w:t>
      </w:r>
      <w:r>
        <w:rPr>
          <w:rFonts w:hint="eastAsia" w:ascii="仿宋_GB2312" w:cs="Times New Roman"/>
          <w:b w:val="0"/>
          <w:bCs w:val="0"/>
          <w:color w:val="000000"/>
          <w:kern w:val="0"/>
          <w:sz w:val="32"/>
          <w:szCs w:val="32"/>
          <w:lang w:val="en-US" w:eastAsia="zh-CN"/>
        </w:rPr>
        <w:t>人以下，或危及</w:t>
      </w:r>
      <w:r>
        <w:rPr>
          <w:rFonts w:hint="default" w:ascii="仿宋_GB2312" w:cs="Times New Roman"/>
          <w:b w:val="0"/>
          <w:bCs w:val="0"/>
          <w:color w:val="000000"/>
          <w:kern w:val="0"/>
          <w:sz w:val="32"/>
          <w:szCs w:val="32"/>
          <w:lang w:val="en-US" w:eastAsia="zh-CN"/>
        </w:rPr>
        <w:t>3</w:t>
      </w:r>
      <w:r>
        <w:rPr>
          <w:rFonts w:hint="eastAsia" w:ascii="仿宋_GB2312" w:cs="Times New Roman"/>
          <w:b w:val="0"/>
          <w:bCs w:val="0"/>
          <w:color w:val="000000"/>
          <w:kern w:val="0"/>
          <w:sz w:val="32"/>
          <w:szCs w:val="32"/>
          <w:lang w:val="en-US" w:eastAsia="zh-CN"/>
        </w:rPr>
        <w:t>人以上、</w:t>
      </w:r>
      <w:r>
        <w:rPr>
          <w:rFonts w:hint="default" w:ascii="仿宋_GB2312" w:cs="Times New Roman"/>
          <w:b w:val="0"/>
          <w:bCs w:val="0"/>
          <w:color w:val="000000"/>
          <w:kern w:val="0"/>
          <w:sz w:val="32"/>
          <w:szCs w:val="32"/>
          <w:lang w:val="en-US" w:eastAsia="zh-CN"/>
        </w:rPr>
        <w:t>10</w:t>
      </w:r>
      <w:r>
        <w:rPr>
          <w:rFonts w:hint="eastAsia" w:ascii="仿宋_GB2312" w:cs="Times New Roman"/>
          <w:b w:val="0"/>
          <w:bCs w:val="0"/>
          <w:color w:val="000000"/>
          <w:kern w:val="0"/>
          <w:sz w:val="32"/>
          <w:szCs w:val="32"/>
          <w:lang w:val="en-US" w:eastAsia="zh-CN"/>
        </w:rPr>
        <w:t>人以下生命安全，或中毒（重伤）</w:t>
      </w:r>
      <w:r>
        <w:rPr>
          <w:rFonts w:hint="default" w:ascii="仿宋_GB2312" w:cs="Times New Roman"/>
          <w:b w:val="0"/>
          <w:bCs w:val="0"/>
          <w:color w:val="000000"/>
          <w:kern w:val="0"/>
          <w:sz w:val="32"/>
          <w:szCs w:val="32"/>
          <w:lang w:val="en-US" w:eastAsia="zh-CN"/>
        </w:rPr>
        <w:t>10</w:t>
      </w:r>
      <w:r>
        <w:rPr>
          <w:rFonts w:hint="eastAsia" w:ascii="仿宋_GB2312" w:cs="Times New Roman"/>
          <w:b w:val="0"/>
          <w:bCs w:val="0"/>
          <w:color w:val="000000"/>
          <w:kern w:val="0"/>
          <w:sz w:val="32"/>
          <w:szCs w:val="32"/>
          <w:lang w:val="en-US" w:eastAsia="zh-CN"/>
        </w:rPr>
        <w:t>人以上、</w:t>
      </w:r>
      <w:r>
        <w:rPr>
          <w:rFonts w:hint="default" w:ascii="仿宋_GB2312" w:cs="Times New Roman"/>
          <w:b w:val="0"/>
          <w:bCs w:val="0"/>
          <w:color w:val="000000"/>
          <w:kern w:val="0"/>
          <w:sz w:val="32"/>
          <w:szCs w:val="32"/>
          <w:lang w:val="en-US" w:eastAsia="zh-CN"/>
        </w:rPr>
        <w:t>50</w:t>
      </w:r>
      <w:r>
        <w:rPr>
          <w:rFonts w:hint="eastAsia" w:ascii="仿宋_GB2312" w:cs="Times New Roman"/>
          <w:b w:val="0"/>
          <w:bCs w:val="0"/>
          <w:color w:val="000000"/>
          <w:kern w:val="0"/>
          <w:sz w:val="32"/>
          <w:szCs w:val="32"/>
          <w:lang w:val="en-US" w:eastAsia="zh-CN"/>
        </w:rPr>
        <w:t>人以下，或直接经济损失</w:t>
      </w:r>
      <w:r>
        <w:rPr>
          <w:rFonts w:hint="default" w:ascii="仿宋_GB2312" w:cs="Times New Roman"/>
          <w:b w:val="0"/>
          <w:bCs w:val="0"/>
          <w:color w:val="000000"/>
          <w:kern w:val="0"/>
          <w:sz w:val="32"/>
          <w:szCs w:val="32"/>
          <w:lang w:val="en-US" w:eastAsia="zh-CN"/>
        </w:rPr>
        <w:t>1000</w:t>
      </w:r>
      <w:r>
        <w:rPr>
          <w:rFonts w:hint="eastAsia" w:ascii="仿宋_GB2312" w:cs="Times New Roman"/>
          <w:b w:val="0"/>
          <w:bCs w:val="0"/>
          <w:color w:val="000000"/>
          <w:kern w:val="0"/>
          <w:sz w:val="32"/>
          <w:szCs w:val="32"/>
          <w:lang w:val="en-US" w:eastAsia="zh-CN"/>
        </w:rPr>
        <w:t>万元以上、</w:t>
      </w:r>
      <w:r>
        <w:rPr>
          <w:rFonts w:hint="default" w:ascii="仿宋_GB2312" w:cs="Times New Roman"/>
          <w:b w:val="0"/>
          <w:bCs w:val="0"/>
          <w:color w:val="000000"/>
          <w:kern w:val="0"/>
          <w:sz w:val="32"/>
          <w:szCs w:val="32"/>
          <w:lang w:val="en-US" w:eastAsia="zh-CN"/>
        </w:rPr>
        <w:t>5000</w:t>
      </w:r>
      <w:r>
        <w:rPr>
          <w:rFonts w:hint="eastAsia" w:ascii="仿宋_GB2312" w:cs="Times New Roman"/>
          <w:b w:val="0"/>
          <w:bCs w:val="0"/>
          <w:color w:val="000000"/>
          <w:kern w:val="0"/>
          <w:sz w:val="32"/>
          <w:szCs w:val="32"/>
          <w:lang w:val="en-US" w:eastAsia="zh-CN"/>
        </w:rPr>
        <w:t>万元以下；</w:t>
      </w:r>
    </w:p>
    <w:p w14:paraId="7E82583D">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②需要紧急转移安置</w:t>
      </w:r>
      <w:r>
        <w:rPr>
          <w:rFonts w:hint="default" w:ascii="仿宋_GB2312" w:cs="Times New Roman"/>
          <w:b w:val="0"/>
          <w:bCs w:val="0"/>
          <w:color w:val="000000"/>
          <w:kern w:val="0"/>
          <w:sz w:val="32"/>
          <w:szCs w:val="32"/>
          <w:lang w:val="en-US" w:eastAsia="zh-CN"/>
        </w:rPr>
        <w:t>1</w:t>
      </w:r>
      <w:r>
        <w:rPr>
          <w:rFonts w:hint="eastAsia" w:ascii="仿宋_GB2312" w:cs="Times New Roman"/>
          <w:b w:val="0"/>
          <w:bCs w:val="0"/>
          <w:color w:val="000000"/>
          <w:kern w:val="0"/>
          <w:sz w:val="32"/>
          <w:szCs w:val="32"/>
          <w:lang w:val="en-US" w:eastAsia="zh-CN"/>
        </w:rPr>
        <w:t>千人以上、</w:t>
      </w:r>
      <w:r>
        <w:rPr>
          <w:rFonts w:hint="default" w:ascii="仿宋_GB2312" w:cs="Times New Roman"/>
          <w:b w:val="0"/>
          <w:bCs w:val="0"/>
          <w:color w:val="000000"/>
          <w:kern w:val="0"/>
          <w:sz w:val="32"/>
          <w:szCs w:val="32"/>
          <w:lang w:val="en-US" w:eastAsia="zh-CN"/>
        </w:rPr>
        <w:t>5</w:t>
      </w:r>
      <w:r>
        <w:rPr>
          <w:rFonts w:hint="eastAsia" w:ascii="仿宋_GB2312" w:cs="Times New Roman"/>
          <w:b w:val="0"/>
          <w:bCs w:val="0"/>
          <w:color w:val="000000"/>
          <w:kern w:val="0"/>
          <w:sz w:val="32"/>
          <w:szCs w:val="32"/>
          <w:lang w:val="en-US" w:eastAsia="zh-CN"/>
        </w:rPr>
        <w:t>万人以下；</w:t>
      </w:r>
    </w:p>
    <w:p w14:paraId="3D5700E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③超出事发地政府处置能力，或形成跨区危险化学品事故。</w:t>
      </w:r>
    </w:p>
    <w:p w14:paraId="3ACBF043">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4</w:t>
      </w:r>
      <w:r>
        <w:rPr>
          <w:rFonts w:hint="eastAsia" w:ascii="仿宋_GB2312" w:cs="Times New Roman"/>
          <w:b w:val="0"/>
          <w:bCs w:val="0"/>
          <w:color w:val="000000"/>
          <w:kern w:val="0"/>
          <w:sz w:val="32"/>
          <w:szCs w:val="32"/>
          <w:lang w:val="en-US" w:eastAsia="zh-CN"/>
        </w:rPr>
        <w:t>）Ⅳ级（一般）危险化学品事故</w:t>
      </w:r>
    </w:p>
    <w:p w14:paraId="7FC08F0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有下列情况之一的，为Ⅳ级（一般）危险化学品事故：</w:t>
      </w:r>
    </w:p>
    <w:p w14:paraId="064BDE3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造成</w:t>
      </w:r>
      <w:r>
        <w:rPr>
          <w:rFonts w:hint="default" w:ascii="仿宋_GB2312" w:cs="Times New Roman"/>
          <w:b w:val="0"/>
          <w:bCs w:val="0"/>
          <w:color w:val="000000"/>
          <w:kern w:val="0"/>
          <w:sz w:val="32"/>
          <w:szCs w:val="32"/>
          <w:lang w:val="en-US" w:eastAsia="zh-CN"/>
        </w:rPr>
        <w:t>3</w:t>
      </w:r>
      <w:r>
        <w:rPr>
          <w:rFonts w:hint="eastAsia" w:ascii="仿宋_GB2312" w:cs="Times New Roman"/>
          <w:b w:val="0"/>
          <w:bCs w:val="0"/>
          <w:color w:val="000000"/>
          <w:kern w:val="0"/>
          <w:sz w:val="32"/>
          <w:szCs w:val="32"/>
          <w:lang w:val="en-US" w:eastAsia="zh-CN"/>
        </w:rPr>
        <w:t>人以下死亡，或危及</w:t>
      </w:r>
      <w:r>
        <w:rPr>
          <w:rFonts w:hint="default" w:ascii="仿宋_GB2312" w:cs="Times New Roman"/>
          <w:b w:val="0"/>
          <w:bCs w:val="0"/>
          <w:color w:val="000000"/>
          <w:kern w:val="0"/>
          <w:sz w:val="32"/>
          <w:szCs w:val="32"/>
          <w:lang w:val="en-US" w:eastAsia="zh-CN"/>
        </w:rPr>
        <w:t>3</w:t>
      </w:r>
      <w:r>
        <w:rPr>
          <w:rFonts w:hint="eastAsia" w:ascii="仿宋_GB2312" w:cs="Times New Roman"/>
          <w:b w:val="0"/>
          <w:bCs w:val="0"/>
          <w:color w:val="000000"/>
          <w:kern w:val="0"/>
          <w:sz w:val="32"/>
          <w:szCs w:val="32"/>
          <w:lang w:val="en-US" w:eastAsia="zh-CN"/>
        </w:rPr>
        <w:t>人以下生命安全，或</w:t>
      </w:r>
      <w:r>
        <w:rPr>
          <w:rFonts w:hint="default" w:ascii="仿宋_GB2312" w:cs="Times New Roman"/>
          <w:b w:val="0"/>
          <w:bCs w:val="0"/>
          <w:color w:val="000000"/>
          <w:kern w:val="0"/>
          <w:sz w:val="32"/>
          <w:szCs w:val="32"/>
          <w:lang w:val="en-US" w:eastAsia="zh-CN"/>
        </w:rPr>
        <w:t>10</w:t>
      </w:r>
      <w:r>
        <w:rPr>
          <w:rFonts w:hint="eastAsia" w:ascii="仿宋_GB2312" w:cs="Times New Roman"/>
          <w:b w:val="0"/>
          <w:bCs w:val="0"/>
          <w:color w:val="000000"/>
          <w:kern w:val="0"/>
          <w:sz w:val="32"/>
          <w:szCs w:val="32"/>
          <w:lang w:val="en-US" w:eastAsia="zh-CN"/>
        </w:rPr>
        <w:t>人以下中毒（重伤），或直接经济损失</w:t>
      </w:r>
      <w:r>
        <w:rPr>
          <w:rFonts w:hint="default" w:ascii="仿宋_GB2312" w:cs="Times New Roman"/>
          <w:b w:val="0"/>
          <w:bCs w:val="0"/>
          <w:color w:val="000000"/>
          <w:kern w:val="0"/>
          <w:sz w:val="32"/>
          <w:szCs w:val="32"/>
          <w:lang w:val="en-US" w:eastAsia="zh-CN"/>
        </w:rPr>
        <w:t>1000</w:t>
      </w:r>
      <w:r>
        <w:rPr>
          <w:rFonts w:hint="eastAsia" w:ascii="仿宋_GB2312" w:cs="Times New Roman"/>
          <w:b w:val="0"/>
          <w:bCs w:val="0"/>
          <w:color w:val="000000"/>
          <w:kern w:val="0"/>
          <w:sz w:val="32"/>
          <w:szCs w:val="32"/>
          <w:lang w:val="en-US" w:eastAsia="zh-CN"/>
        </w:rPr>
        <w:t>万元以下。</w:t>
      </w:r>
    </w:p>
    <w:p w14:paraId="01A8AC43">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default" w:ascii="仿宋_GB2312" w:cs="Times New Roman"/>
          <w:b w:val="0"/>
          <w:bCs w:val="0"/>
          <w:color w:val="000000"/>
          <w:kern w:val="0"/>
          <w:sz w:val="32"/>
          <w:szCs w:val="32"/>
          <w:lang w:val="en-US" w:eastAsia="zh-CN"/>
        </w:rPr>
        <w:t>“</w:t>
      </w:r>
      <w:r>
        <w:rPr>
          <w:rFonts w:hint="eastAsia" w:ascii="仿宋_GB2312" w:cs="Times New Roman"/>
          <w:b w:val="0"/>
          <w:bCs w:val="0"/>
          <w:color w:val="000000"/>
          <w:kern w:val="0"/>
          <w:sz w:val="32"/>
          <w:szCs w:val="32"/>
          <w:lang w:val="en-US" w:eastAsia="zh-CN"/>
        </w:rPr>
        <w:t>以上</w:t>
      </w:r>
      <w:r>
        <w:rPr>
          <w:rFonts w:hint="default" w:ascii="仿宋_GB2312" w:cs="Times New Roman"/>
          <w:b w:val="0"/>
          <w:bCs w:val="0"/>
          <w:color w:val="000000"/>
          <w:kern w:val="0"/>
          <w:sz w:val="32"/>
          <w:szCs w:val="32"/>
          <w:lang w:val="en-US" w:eastAsia="zh-CN"/>
        </w:rPr>
        <w:t>”</w:t>
      </w:r>
      <w:r>
        <w:rPr>
          <w:rFonts w:hint="eastAsia" w:ascii="仿宋_GB2312" w:cs="Times New Roman"/>
          <w:b w:val="0"/>
          <w:bCs w:val="0"/>
          <w:color w:val="000000"/>
          <w:kern w:val="0"/>
          <w:sz w:val="32"/>
          <w:szCs w:val="32"/>
          <w:lang w:val="en-US" w:eastAsia="zh-CN"/>
        </w:rPr>
        <w:t>含本数，</w:t>
      </w:r>
      <w:r>
        <w:rPr>
          <w:rFonts w:hint="default" w:ascii="仿宋_GB2312" w:cs="Times New Roman"/>
          <w:b w:val="0"/>
          <w:bCs w:val="0"/>
          <w:color w:val="000000"/>
          <w:kern w:val="0"/>
          <w:sz w:val="32"/>
          <w:szCs w:val="32"/>
          <w:lang w:val="en-US" w:eastAsia="zh-CN"/>
        </w:rPr>
        <w:t>“</w:t>
      </w:r>
      <w:r>
        <w:rPr>
          <w:rFonts w:hint="eastAsia" w:ascii="仿宋_GB2312" w:cs="Times New Roman"/>
          <w:b w:val="0"/>
          <w:bCs w:val="0"/>
          <w:color w:val="000000"/>
          <w:kern w:val="0"/>
          <w:sz w:val="32"/>
          <w:szCs w:val="32"/>
          <w:lang w:val="en-US" w:eastAsia="zh-CN"/>
        </w:rPr>
        <w:t>以下</w:t>
      </w:r>
      <w:r>
        <w:rPr>
          <w:rFonts w:hint="default" w:ascii="仿宋_GB2312" w:cs="Times New Roman"/>
          <w:b w:val="0"/>
          <w:bCs w:val="0"/>
          <w:color w:val="000000"/>
          <w:kern w:val="0"/>
          <w:sz w:val="32"/>
          <w:szCs w:val="32"/>
          <w:lang w:val="en-US" w:eastAsia="zh-CN"/>
        </w:rPr>
        <w:t>”</w:t>
      </w:r>
      <w:r>
        <w:rPr>
          <w:rFonts w:hint="eastAsia" w:ascii="仿宋_GB2312" w:cs="Times New Roman"/>
          <w:b w:val="0"/>
          <w:bCs w:val="0"/>
          <w:color w:val="000000"/>
          <w:kern w:val="0"/>
          <w:sz w:val="32"/>
          <w:szCs w:val="32"/>
          <w:lang w:val="en-US" w:eastAsia="zh-CN"/>
        </w:rPr>
        <w:t>不含本数。</w:t>
      </w:r>
    </w:p>
    <w:p w14:paraId="593AFAA2">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default"/>
          <w:b/>
          <w:bCs w:val="0"/>
          <w:sz w:val="32"/>
          <w:lang w:val="en-US" w:eastAsia="zh-CN"/>
        </w:rPr>
      </w:pPr>
      <w:bookmarkStart w:id="12" w:name="_Toc32593"/>
      <w:r>
        <w:rPr>
          <w:b/>
          <w:bCs w:val="0"/>
          <w:sz w:val="32"/>
        </w:rPr>
        <w:t>1.</w:t>
      </w:r>
      <w:r>
        <w:rPr>
          <w:rFonts w:hint="eastAsia"/>
          <w:b/>
          <w:bCs w:val="0"/>
          <w:sz w:val="32"/>
          <w:lang w:val="en-US" w:eastAsia="zh-CN"/>
        </w:rPr>
        <w:t>4适用范围</w:t>
      </w:r>
      <w:bookmarkEnd w:id="12"/>
    </w:p>
    <w:p w14:paraId="5FC93F7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本预案适用于烈山区区域内危险化学品生产、经营、储存、使用和运输等过程中发生的一般、较大、重大和特别重大危险化学品生产安全事故应急响应。</w:t>
      </w:r>
    </w:p>
    <w:p w14:paraId="18BDD46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w:t>
      </w:r>
      <w:r>
        <w:rPr>
          <w:rFonts w:hint="default" w:ascii="仿宋_GB2312" w:cs="Times New Roman"/>
          <w:b w:val="0"/>
          <w:bCs w:val="0"/>
          <w:color w:val="000000"/>
          <w:kern w:val="0"/>
          <w:sz w:val="32"/>
          <w:szCs w:val="32"/>
          <w:lang w:val="en-US" w:eastAsia="zh-CN"/>
        </w:rPr>
        <w:t> </w:t>
      </w:r>
      <w:r>
        <w:rPr>
          <w:rFonts w:hint="eastAsia" w:ascii="仿宋_GB2312" w:cs="Times New Roman"/>
          <w:b w:val="0"/>
          <w:bCs w:val="0"/>
          <w:color w:val="000000"/>
          <w:kern w:val="0"/>
          <w:sz w:val="32"/>
          <w:szCs w:val="32"/>
          <w:lang w:val="en-US" w:eastAsia="zh-CN"/>
        </w:rPr>
        <w:t>一般、较大、重大和特别重大危险化学品事故。</w:t>
      </w:r>
    </w:p>
    <w:p w14:paraId="6F61614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（2）达不到Ⅳ级标准，但超出镇政府、街道办事处、经开区管委会应急处置能力的危险化学品事故。</w:t>
      </w:r>
    </w:p>
    <w:p w14:paraId="2A105690">
      <w:pPr>
        <w:keepNext w:val="0"/>
        <w:keepLines w:val="0"/>
        <w:pageBreakBefore w:val="0"/>
        <w:widowControl/>
        <w:suppressLineNumbers w:val="0"/>
        <w:kinsoku/>
        <w:wordWrap/>
        <w:overflowPunct/>
        <w:topLinePunct w:val="0"/>
        <w:autoSpaceDE/>
        <w:autoSpaceDN/>
        <w:bidi w:val="0"/>
        <w:adjustRightInd/>
        <w:snapToGrid/>
        <w:spacing w:line="48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w:t>
      </w:r>
      <w:r>
        <w:rPr>
          <w:rFonts w:hint="default" w:ascii="仿宋_GB2312" w:cs="Times New Roman"/>
          <w:b w:val="0"/>
          <w:bCs w:val="0"/>
          <w:color w:val="000000"/>
          <w:kern w:val="0"/>
          <w:sz w:val="32"/>
          <w:szCs w:val="32"/>
          <w:lang w:val="en-US" w:eastAsia="zh-CN"/>
        </w:rPr>
        <w:t> </w:t>
      </w:r>
      <w:r>
        <w:rPr>
          <w:rFonts w:hint="eastAsia" w:ascii="仿宋_GB2312" w:cs="Times New Roman"/>
          <w:b w:val="0"/>
          <w:bCs w:val="0"/>
          <w:color w:val="000000"/>
          <w:kern w:val="0"/>
          <w:sz w:val="32"/>
          <w:szCs w:val="32"/>
          <w:lang w:val="en-US" w:eastAsia="zh-CN"/>
        </w:rPr>
        <w:t>区政府认为有必要区级应急响应的危险化学品事故。</w:t>
      </w:r>
    </w:p>
    <w:p w14:paraId="39558D8F">
      <w:pPr>
        <w:keepNext w:val="0"/>
        <w:keepLines w:val="0"/>
        <w:pageBreakBefore w:val="0"/>
        <w:widowControl/>
        <w:suppressLineNumbers w:val="0"/>
        <w:kinsoku/>
        <w:wordWrap/>
        <w:overflowPunct/>
        <w:topLinePunct w:val="0"/>
        <w:autoSpaceDE/>
        <w:autoSpaceDN/>
        <w:bidi w:val="0"/>
        <w:adjustRightInd/>
        <w:snapToGrid/>
        <w:spacing w:line="48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本预案适用于以上危险化学品事故应急处置。构成</w:t>
      </w:r>
      <w:r>
        <w:rPr>
          <w:rFonts w:hint="default" w:ascii="仿宋_GB2312" w:cs="Times New Roman"/>
          <w:b w:val="0"/>
          <w:bCs w:val="0"/>
          <w:color w:val="000000"/>
          <w:kern w:val="0"/>
          <w:sz w:val="32"/>
          <w:szCs w:val="32"/>
          <w:lang w:val="en-US" w:eastAsia="zh-CN"/>
        </w:rPr>
        <w:t>I</w:t>
      </w:r>
      <w:r>
        <w:rPr>
          <w:rFonts w:hint="eastAsia" w:ascii="仿宋_GB2312" w:cs="Times New Roman"/>
          <w:b w:val="0"/>
          <w:bCs w:val="0"/>
          <w:color w:val="000000"/>
          <w:kern w:val="0"/>
          <w:sz w:val="32"/>
          <w:szCs w:val="32"/>
          <w:lang w:val="en-US" w:eastAsia="zh-CN"/>
        </w:rPr>
        <w:t>级、Ⅱ级、Ⅲ级危险化学品事故按照国家、省、市相关预案执行</w:t>
      </w:r>
      <w:r>
        <w:rPr>
          <w:rFonts w:hint="eastAsia" w:ascii="仿宋_GB2312" w:cs="Times New Roman"/>
          <w:b w:val="0"/>
          <w:bCs w:val="0"/>
          <w:color w:val="auto"/>
          <w:kern w:val="0"/>
          <w:sz w:val="32"/>
          <w:szCs w:val="32"/>
          <w:lang w:val="en-US" w:eastAsia="zh-CN"/>
        </w:rPr>
        <w:t>，本预案只适用于</w:t>
      </w:r>
      <w:r>
        <w:rPr>
          <w:rFonts w:hint="default" w:ascii="仿宋_GB2312" w:cs="Times New Roman"/>
          <w:b w:val="0"/>
          <w:bCs w:val="0"/>
          <w:color w:val="auto"/>
          <w:kern w:val="0"/>
          <w:sz w:val="32"/>
          <w:szCs w:val="32"/>
          <w:lang w:val="en-US" w:eastAsia="zh-CN"/>
        </w:rPr>
        <w:t>I</w:t>
      </w:r>
      <w:r>
        <w:rPr>
          <w:rFonts w:hint="eastAsia" w:ascii="仿宋_GB2312" w:cs="Times New Roman"/>
          <w:b w:val="0"/>
          <w:bCs w:val="0"/>
          <w:color w:val="auto"/>
          <w:kern w:val="0"/>
          <w:sz w:val="32"/>
          <w:szCs w:val="32"/>
          <w:lang w:val="en-US" w:eastAsia="zh-CN"/>
        </w:rPr>
        <w:t>级、Ⅱ级、Ⅲ级危险化学品事故的前期应急处置有关工作。</w:t>
      </w:r>
    </w:p>
    <w:p w14:paraId="680F2B00">
      <w:pPr>
        <w:pStyle w:val="8"/>
        <w:keepNext w:val="0"/>
        <w:keepLines w:val="0"/>
        <w:pageBreakBefore w:val="0"/>
        <w:kinsoku/>
        <w:wordWrap/>
        <w:overflowPunct/>
        <w:topLinePunct w:val="0"/>
        <w:autoSpaceDE/>
        <w:autoSpaceDN/>
        <w:bidi w:val="0"/>
        <w:adjustRightInd/>
        <w:snapToGrid/>
        <w:spacing w:line="480" w:lineRule="exact"/>
        <w:ind w:firstLine="622" w:firstLineChars="200"/>
        <w:jc w:val="both"/>
        <w:textAlignment w:val="auto"/>
        <w:rPr>
          <w:rFonts w:hint="default"/>
          <w:b/>
          <w:bCs w:val="0"/>
          <w:sz w:val="32"/>
          <w:lang w:val="en-US" w:eastAsia="zh-CN"/>
        </w:rPr>
      </w:pPr>
      <w:bookmarkStart w:id="13" w:name="_Toc27091"/>
      <w:r>
        <w:rPr>
          <w:b/>
          <w:bCs w:val="0"/>
          <w:sz w:val="32"/>
        </w:rPr>
        <w:t>1.</w:t>
      </w:r>
      <w:r>
        <w:rPr>
          <w:rFonts w:hint="eastAsia"/>
          <w:b/>
          <w:bCs w:val="0"/>
          <w:sz w:val="32"/>
          <w:lang w:val="en-US" w:eastAsia="zh-CN"/>
        </w:rPr>
        <w:t>5烈山区危险化学品企业生产安全现状</w:t>
      </w:r>
      <w:bookmarkEnd w:id="13"/>
    </w:p>
    <w:p w14:paraId="26875932">
      <w:pPr>
        <w:keepNext w:val="0"/>
        <w:keepLines w:val="0"/>
        <w:pageBreakBefore w:val="0"/>
        <w:widowControl/>
        <w:suppressLineNumbers w:val="0"/>
        <w:kinsoku/>
        <w:wordWrap/>
        <w:overflowPunct/>
        <w:topLinePunct w:val="0"/>
        <w:autoSpaceDE/>
        <w:autoSpaceDN/>
        <w:bidi w:val="0"/>
        <w:adjustRightInd/>
        <w:snapToGrid/>
        <w:spacing w:line="480" w:lineRule="exact"/>
        <w:ind w:firstLine="622" w:firstLineChars="200"/>
        <w:jc w:val="both"/>
        <w:textAlignment w:val="auto"/>
        <w:rPr>
          <w:rFonts w:hint="eastAsia" w:ascii="仿宋_GB2312" w:hAnsi="Times New Roman" w:cs="Times New Roman"/>
          <w:b w:val="0"/>
          <w:bCs w:val="0"/>
          <w:color w:val="auto"/>
          <w:kern w:val="0"/>
          <w:sz w:val="32"/>
          <w:szCs w:val="32"/>
          <w:lang w:val="en-US" w:eastAsia="zh-CN"/>
        </w:rPr>
      </w:pPr>
      <w:r>
        <w:rPr>
          <w:rFonts w:hint="eastAsia" w:ascii="仿宋_GB2312" w:hAnsi="Times New Roman" w:cs="Times New Roman"/>
          <w:b w:val="0"/>
          <w:bCs w:val="0"/>
          <w:color w:val="000000"/>
          <w:kern w:val="0"/>
          <w:sz w:val="32"/>
          <w:szCs w:val="32"/>
          <w:lang w:val="en-US" w:eastAsia="zh-CN"/>
        </w:rPr>
        <w:t>烈山区</w:t>
      </w:r>
      <w:r>
        <w:rPr>
          <w:rFonts w:hint="eastAsia" w:ascii="仿宋_GB2312" w:cs="Times New Roman"/>
          <w:b w:val="0"/>
          <w:bCs w:val="0"/>
          <w:color w:val="000000"/>
          <w:kern w:val="0"/>
          <w:sz w:val="32"/>
          <w:szCs w:val="32"/>
          <w:lang w:val="en-US" w:eastAsia="zh-CN"/>
        </w:rPr>
        <w:t>现有</w:t>
      </w:r>
      <w:r>
        <w:rPr>
          <w:rFonts w:hint="eastAsia" w:ascii="仿宋_GB2312" w:hAnsi="Times New Roman" w:cs="Times New Roman"/>
          <w:b w:val="0"/>
          <w:bCs w:val="0"/>
          <w:color w:val="000000"/>
          <w:kern w:val="0"/>
          <w:sz w:val="32"/>
          <w:szCs w:val="32"/>
          <w:lang w:val="en-US" w:eastAsia="zh-CN"/>
        </w:rPr>
        <w:t>危险化学品使用企业4家，其中区经开区3家：安徽科宝生物工程有限公司、安徽亚太洗涤用品有限公司、钧涛电子科技有限公司，涉及的危险化学品有</w:t>
      </w:r>
      <w:r>
        <w:rPr>
          <w:rFonts w:hint="default" w:ascii="仿宋_GB2312" w:hAnsi="Times New Roman" w:cs="Times New Roman"/>
          <w:b w:val="0"/>
          <w:bCs w:val="0"/>
          <w:color w:val="000000"/>
          <w:kern w:val="0"/>
          <w:sz w:val="32"/>
          <w:szCs w:val="32"/>
          <w:lang w:val="en-US" w:eastAsia="zh-CN"/>
        </w:rPr>
        <w:t>盐酸、硫酸、丙酮、三氯甲烷、</w:t>
      </w:r>
      <w:r>
        <w:rPr>
          <w:rFonts w:hint="eastAsia" w:ascii="仿宋_GB2312" w:hAnsi="Times New Roman" w:cs="Times New Roman"/>
          <w:b w:val="0"/>
          <w:bCs w:val="0"/>
          <w:color w:val="000000"/>
          <w:kern w:val="0"/>
          <w:sz w:val="32"/>
          <w:szCs w:val="32"/>
          <w:lang w:val="en-US" w:eastAsia="zh-CN"/>
        </w:rPr>
        <w:t>氨水、乙醇等；烈山镇1家：金龙机电（淮北）有限公司，涉及危化品乙醇。上述4家危险化学品使用企业按照《危险化学品安全使用许可证</w:t>
      </w:r>
      <w:r>
        <w:rPr>
          <w:rFonts w:hint="eastAsia" w:ascii="仿宋_GB2312" w:cs="Times New Roman"/>
          <w:b w:val="0"/>
          <w:bCs w:val="0"/>
          <w:color w:val="000000"/>
          <w:kern w:val="0"/>
          <w:sz w:val="32"/>
          <w:szCs w:val="32"/>
          <w:lang w:val="en-US" w:eastAsia="zh-CN"/>
        </w:rPr>
        <w:t>实施</w:t>
      </w:r>
      <w:r>
        <w:rPr>
          <w:rFonts w:hint="eastAsia" w:ascii="仿宋_GB2312" w:hAnsi="Times New Roman" w:cs="Times New Roman"/>
          <w:b w:val="0"/>
          <w:bCs w:val="0"/>
          <w:color w:val="000000"/>
          <w:kern w:val="0"/>
          <w:sz w:val="32"/>
          <w:szCs w:val="32"/>
          <w:lang w:val="en-US" w:eastAsia="zh-CN"/>
        </w:rPr>
        <w:t>办法》（国家安监总局令第57号）规定均未</w:t>
      </w:r>
      <w:r>
        <w:rPr>
          <w:rFonts w:hint="eastAsia" w:ascii="仿宋_GB2312" w:hAnsi="Times New Roman" w:cs="Times New Roman"/>
          <w:b w:val="0"/>
          <w:bCs w:val="0"/>
          <w:color w:val="auto"/>
          <w:kern w:val="0"/>
          <w:sz w:val="32"/>
          <w:szCs w:val="32"/>
          <w:lang w:val="en-US" w:eastAsia="zh-CN"/>
        </w:rPr>
        <w:t>达到办理《危险化学品安全使用许可证》条件。</w:t>
      </w:r>
    </w:p>
    <w:p w14:paraId="06CCF882">
      <w:pPr>
        <w:keepNext w:val="0"/>
        <w:keepLines w:val="0"/>
        <w:pageBreakBefore w:val="0"/>
        <w:widowControl/>
        <w:suppressLineNumbers w:val="0"/>
        <w:kinsoku/>
        <w:wordWrap/>
        <w:overflowPunct/>
        <w:topLinePunct w:val="0"/>
        <w:autoSpaceDE/>
        <w:autoSpaceDN/>
        <w:bidi w:val="0"/>
        <w:adjustRightInd/>
        <w:snapToGrid/>
        <w:spacing w:line="480" w:lineRule="exact"/>
        <w:ind w:firstLine="622" w:firstLineChars="200"/>
        <w:jc w:val="both"/>
        <w:textAlignment w:val="auto"/>
        <w:rPr>
          <w:rFonts w:hint="eastAsia" w:ascii="仿宋_GB2312" w:hAnsi="Times New Roman" w:cs="Times New Roman"/>
          <w:b w:val="0"/>
          <w:bCs w:val="0"/>
          <w:color w:val="auto"/>
          <w:kern w:val="0"/>
          <w:sz w:val="32"/>
          <w:szCs w:val="32"/>
          <w:lang w:val="en-US" w:eastAsia="zh-CN"/>
        </w:rPr>
      </w:pPr>
      <w:r>
        <w:rPr>
          <w:rFonts w:hint="eastAsia" w:ascii="仿宋_GB2312" w:hAnsi="Times New Roman" w:cs="Times New Roman"/>
          <w:b w:val="0"/>
          <w:bCs w:val="0"/>
          <w:color w:val="auto"/>
          <w:kern w:val="0"/>
          <w:sz w:val="32"/>
          <w:szCs w:val="32"/>
          <w:lang w:val="en-US" w:eastAsia="zh-CN"/>
        </w:rPr>
        <w:t>涉氨制冷企业1家，位于烈山区经开区的安徽宝迪肉类食品有限公司，（构成四级重大危险源）。</w:t>
      </w:r>
    </w:p>
    <w:p w14:paraId="30F0F64D">
      <w:pPr>
        <w:keepNext w:val="0"/>
        <w:keepLines w:val="0"/>
        <w:pageBreakBefore w:val="0"/>
        <w:widowControl/>
        <w:suppressLineNumbers w:val="0"/>
        <w:kinsoku/>
        <w:wordWrap/>
        <w:overflowPunct/>
        <w:topLinePunct w:val="0"/>
        <w:autoSpaceDE/>
        <w:autoSpaceDN/>
        <w:bidi w:val="0"/>
        <w:adjustRightInd/>
        <w:snapToGrid/>
        <w:spacing w:line="480" w:lineRule="exact"/>
        <w:ind w:firstLine="622" w:firstLineChars="200"/>
        <w:jc w:val="both"/>
        <w:textAlignment w:val="auto"/>
        <w:rPr>
          <w:rFonts w:hint="default"/>
          <w:lang w:val="en-US" w:eastAsia="zh-CN"/>
        </w:rPr>
      </w:pPr>
      <w:r>
        <w:rPr>
          <w:rFonts w:hint="eastAsia" w:hAnsi="Times New Roman" w:cs="Times New Roman"/>
          <w:b w:val="0"/>
          <w:bCs w:val="0"/>
          <w:color w:val="auto"/>
          <w:kern w:val="0"/>
          <w:sz w:val="32"/>
          <w:szCs w:val="32"/>
          <w:lang w:val="en-US" w:eastAsia="zh-CN"/>
        </w:rPr>
        <w:t>烟花爆竹仓储企业1家，位于宋疃镇</w:t>
      </w:r>
      <w:r>
        <w:rPr>
          <w:rFonts w:hint="eastAsia" w:cs="Times New Roman"/>
          <w:b w:val="0"/>
          <w:bCs w:val="0"/>
          <w:color w:val="auto"/>
          <w:kern w:val="0"/>
          <w:sz w:val="32"/>
          <w:szCs w:val="32"/>
          <w:lang w:val="en-US" w:eastAsia="zh-CN"/>
        </w:rPr>
        <w:t>太山村</w:t>
      </w:r>
      <w:r>
        <w:rPr>
          <w:rFonts w:hint="eastAsia" w:hAnsi="Times New Roman" w:cs="Times New Roman"/>
          <w:b w:val="0"/>
          <w:bCs w:val="0"/>
          <w:color w:val="auto"/>
          <w:kern w:val="0"/>
          <w:sz w:val="32"/>
          <w:szCs w:val="32"/>
          <w:lang w:val="en-US" w:eastAsia="zh-CN"/>
        </w:rPr>
        <w:t>。</w:t>
      </w:r>
    </w:p>
    <w:p w14:paraId="6C04CBB2">
      <w:pPr>
        <w:keepNext w:val="0"/>
        <w:keepLines w:val="0"/>
        <w:pageBreakBefore w:val="0"/>
        <w:widowControl/>
        <w:suppressLineNumbers w:val="0"/>
        <w:kinsoku/>
        <w:wordWrap/>
        <w:overflowPunct/>
        <w:topLinePunct w:val="0"/>
        <w:autoSpaceDE/>
        <w:autoSpaceDN/>
        <w:bidi w:val="0"/>
        <w:adjustRightInd/>
        <w:snapToGrid/>
        <w:spacing w:line="480" w:lineRule="exact"/>
        <w:ind w:firstLine="622" w:firstLineChars="200"/>
        <w:jc w:val="both"/>
        <w:textAlignment w:val="auto"/>
        <w:rPr>
          <w:rFonts w:hint="eastAsia" w:cs="Times New Roman"/>
          <w:b w:val="0"/>
          <w:bCs w:val="0"/>
          <w:color w:val="auto"/>
          <w:kern w:val="0"/>
          <w:sz w:val="32"/>
          <w:szCs w:val="32"/>
          <w:highlight w:val="none"/>
          <w:lang w:val="en-US" w:eastAsia="zh-CN"/>
        </w:rPr>
      </w:pPr>
      <w:r>
        <w:rPr>
          <w:rFonts w:hint="eastAsia" w:ascii="仿宋_GB2312" w:cs="Times New Roman"/>
          <w:b w:val="0"/>
          <w:bCs w:val="0"/>
          <w:color w:val="auto"/>
          <w:kern w:val="0"/>
          <w:sz w:val="32"/>
          <w:szCs w:val="32"/>
          <w:highlight w:val="none"/>
          <w:lang w:val="en-US" w:eastAsia="zh-CN"/>
        </w:rPr>
        <w:t>另外有加油站28家，</w:t>
      </w:r>
      <w:r>
        <w:rPr>
          <w:rFonts w:hint="eastAsia" w:cs="Times New Roman"/>
          <w:b w:val="0"/>
          <w:bCs w:val="0"/>
          <w:color w:val="auto"/>
          <w:kern w:val="0"/>
          <w:sz w:val="32"/>
          <w:szCs w:val="32"/>
          <w:highlight w:val="none"/>
          <w:lang w:val="en-US" w:eastAsia="zh-CN"/>
        </w:rPr>
        <w:t>使用危化品电厂4家。</w:t>
      </w:r>
    </w:p>
    <w:p w14:paraId="2E3110E5">
      <w:pPr>
        <w:keepNext w:val="0"/>
        <w:keepLines w:val="0"/>
        <w:pageBreakBefore w:val="0"/>
        <w:widowControl/>
        <w:suppressLineNumbers w:val="0"/>
        <w:kinsoku/>
        <w:wordWrap/>
        <w:overflowPunct/>
        <w:topLinePunct w:val="0"/>
        <w:autoSpaceDE/>
        <w:autoSpaceDN/>
        <w:bidi w:val="0"/>
        <w:adjustRightInd/>
        <w:snapToGrid/>
        <w:spacing w:line="480" w:lineRule="exact"/>
        <w:ind w:firstLine="622" w:firstLineChars="200"/>
        <w:jc w:val="both"/>
        <w:textAlignment w:val="auto"/>
        <w:rPr>
          <w:rFonts w:hint="default"/>
          <w:lang w:val="en-US" w:eastAsia="zh-CN"/>
        </w:rPr>
      </w:pPr>
      <w:r>
        <w:rPr>
          <w:rFonts w:hint="eastAsia" w:cs="Times New Roman"/>
          <w:b w:val="0"/>
          <w:bCs w:val="0"/>
          <w:color w:val="auto"/>
          <w:kern w:val="0"/>
          <w:sz w:val="32"/>
          <w:szCs w:val="32"/>
          <w:highlight w:val="none"/>
          <w:lang w:val="en-US" w:eastAsia="zh-CN"/>
        </w:rPr>
        <w:t>（详情见附件5、附件6）</w:t>
      </w:r>
    </w:p>
    <w:p w14:paraId="1C88CC2A">
      <w:pPr>
        <w:pStyle w:val="11"/>
        <w:keepNext w:val="0"/>
        <w:keepLines w:val="0"/>
        <w:pageBreakBefore w:val="0"/>
        <w:kinsoku/>
        <w:wordWrap/>
        <w:overflowPunct/>
        <w:topLinePunct w:val="0"/>
        <w:autoSpaceDE/>
        <w:autoSpaceDN/>
        <w:bidi w:val="0"/>
        <w:adjustRightInd/>
        <w:snapToGrid/>
        <w:spacing w:line="480" w:lineRule="exact"/>
        <w:ind w:firstLine="622" w:firstLineChars="200"/>
        <w:jc w:val="both"/>
        <w:textAlignment w:val="auto"/>
        <w:rPr>
          <w:rFonts w:hint="default"/>
          <w:sz w:val="32"/>
          <w:lang w:val="en-US" w:eastAsia="zh-CN"/>
        </w:rPr>
      </w:pPr>
      <w:bookmarkStart w:id="14" w:name="_Toc29155"/>
      <w:bookmarkStart w:id="15" w:name="_Toc111018572"/>
      <w:bookmarkStart w:id="16" w:name="_Toc26206"/>
      <w:r>
        <w:rPr>
          <w:rFonts w:hint="eastAsia"/>
          <w:sz w:val="32"/>
          <w:lang w:val="en-US" w:eastAsia="zh-CN"/>
        </w:rPr>
        <w:t>二</w:t>
      </w:r>
      <w:r>
        <w:rPr>
          <w:rFonts w:hint="eastAsia"/>
          <w:sz w:val="32"/>
          <w:lang w:eastAsia="zh-CN"/>
        </w:rPr>
        <w:t>、</w:t>
      </w:r>
      <w:r>
        <w:rPr>
          <w:sz w:val="32"/>
        </w:rPr>
        <w:t>组织</w:t>
      </w:r>
      <w:bookmarkEnd w:id="14"/>
      <w:bookmarkEnd w:id="15"/>
      <w:r>
        <w:rPr>
          <w:rFonts w:hint="eastAsia"/>
          <w:sz w:val="32"/>
          <w:lang w:val="en-US" w:eastAsia="zh-CN"/>
        </w:rPr>
        <w:t>机构和职责</w:t>
      </w:r>
      <w:bookmarkEnd w:id="16"/>
    </w:p>
    <w:p w14:paraId="2F0DE69B">
      <w:pPr>
        <w:keepNext w:val="0"/>
        <w:keepLines w:val="0"/>
        <w:pageBreakBefore w:val="0"/>
        <w:widowControl/>
        <w:suppressLineNumbers w:val="0"/>
        <w:kinsoku/>
        <w:wordWrap/>
        <w:overflowPunct/>
        <w:topLinePunct w:val="0"/>
        <w:autoSpaceDE/>
        <w:autoSpaceDN/>
        <w:bidi w:val="0"/>
        <w:adjustRightInd/>
        <w:snapToGrid/>
        <w:spacing w:line="48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区危险化学品事故应急组织机构由区应急指挥部、区应急指挥部办公室和有关应急小组组成。</w:t>
      </w:r>
    </w:p>
    <w:p w14:paraId="36C92CF4">
      <w:pPr>
        <w:pStyle w:val="8"/>
        <w:keepNext w:val="0"/>
        <w:keepLines w:val="0"/>
        <w:pageBreakBefore w:val="0"/>
        <w:kinsoku/>
        <w:wordWrap/>
        <w:overflowPunct/>
        <w:topLinePunct w:val="0"/>
        <w:autoSpaceDE/>
        <w:autoSpaceDN/>
        <w:bidi w:val="0"/>
        <w:adjustRightInd/>
        <w:snapToGrid/>
        <w:spacing w:line="480" w:lineRule="exact"/>
        <w:ind w:firstLine="622" w:firstLineChars="200"/>
        <w:jc w:val="both"/>
        <w:textAlignment w:val="auto"/>
        <w:rPr>
          <w:rFonts w:hint="eastAsia"/>
          <w:b/>
          <w:bCs w:val="0"/>
          <w:sz w:val="32"/>
          <w:lang w:val="en-US" w:eastAsia="zh-CN"/>
        </w:rPr>
      </w:pPr>
      <w:bookmarkStart w:id="17" w:name="_Toc13878"/>
      <w:r>
        <w:rPr>
          <w:rFonts w:hint="eastAsia"/>
          <w:b/>
          <w:bCs w:val="0"/>
          <w:sz w:val="32"/>
          <w:lang w:val="en-US" w:eastAsia="zh-CN"/>
        </w:rPr>
        <w:t>2.1区应急指挥部</w:t>
      </w:r>
      <w:bookmarkEnd w:id="17"/>
    </w:p>
    <w:p w14:paraId="0105CE48">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危险化学品生产安全事故应急指挥部（以下简称“区应急指挥部”）是负责处置和管理我区危险化学品生产安全事故的领导机构。总指挥由区分管安全生产的副区长担任，副总指挥由区应急管理局局长担任，执行指挥由区应急管理局局长兼任，同时兼任现场指挥部的现场指挥长。指挥部成员单位见附件2。</w:t>
      </w:r>
    </w:p>
    <w:p w14:paraId="0E986A7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指挥部主要工作职责包括：贯彻执行预防和应对有关危险化学品事故的法律法规、规章和政策；起草和修订有关区危险化学品事故应急预案，经区政府批准后实施；组织有关应急队伍的建设、管理和应急演练；建设和完善应急平台，纳入全区应急平台体系；统筹专业应急物资、装备的储备和调用；确定一般以上有关危险化学品事故的等级与响应级别，按预案规定程序启动和结束应急响应，组织和指挥有关力量和资源参与事故的应急处置工作；指挥、协调或协助各镇（街道、经开区）开展有关危险化学品事故应急预防和应急处置工作；开展应急宣传、教育和培训等工作；承办区委、区政府交办的其他事项。</w:t>
      </w:r>
    </w:p>
    <w:p w14:paraId="3499ABF9">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18" w:name="_Toc18742"/>
      <w:r>
        <w:rPr>
          <w:rFonts w:hint="eastAsia"/>
          <w:b/>
          <w:bCs w:val="0"/>
          <w:sz w:val="32"/>
          <w:lang w:val="en-US" w:eastAsia="zh-CN"/>
        </w:rPr>
        <w:t>2.2区应急指挥部办公室</w:t>
      </w:r>
      <w:bookmarkEnd w:id="18"/>
    </w:p>
    <w:p w14:paraId="370620E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区应急指挥部办公室为区应急指挥部的常设办事机构，设在区应急管理局，办公室主任由区应急管理局局长担任。区应急指挥部办公室主要职责是：</w:t>
      </w:r>
    </w:p>
    <w:p w14:paraId="07B276B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（1）组织落实区应急指挥部决定，协调和调动成员单位开展危险化学品事故应急救援相关工作；</w:t>
      </w:r>
    </w:p>
    <w:p w14:paraId="2883BE9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（2）组织开展区应急指挥部应急值守相关工作；</w:t>
      </w:r>
    </w:p>
    <w:p w14:paraId="3599423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（3）组织收集、分析有关工作信息，及时上报危险化学品事故重要信息；</w:t>
      </w:r>
    </w:p>
    <w:p w14:paraId="2E3A362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（4）组织发布危险化学品事故预警信息；</w:t>
      </w:r>
    </w:p>
    <w:p w14:paraId="01CA233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（5）配合有关部门承担危险化学品事故新闻发布工作；</w:t>
      </w:r>
    </w:p>
    <w:p w14:paraId="56B7853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（6）组织开展区危险化学品事故应急预案编制、修订和评审工作；</w:t>
      </w:r>
    </w:p>
    <w:p w14:paraId="2122D6D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（7）组织开展本区危险化学品事故应急演练、培训、宣传工作；</w:t>
      </w:r>
    </w:p>
    <w:p w14:paraId="55733A0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（8）组织开展危险化学品安全专家组的管理工作；</w:t>
      </w:r>
    </w:p>
    <w:p w14:paraId="1CB269A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（9）督促指导和抽查各镇（街道、经开区）安全监管部门危险化学品事故预防与应急救援工作；</w:t>
      </w:r>
    </w:p>
    <w:p w14:paraId="72239F83">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（10）承担区应急指挥部日常工作。</w:t>
      </w:r>
    </w:p>
    <w:p w14:paraId="78BC6B8D">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19" w:name="_Toc20430"/>
      <w:r>
        <w:rPr>
          <w:rFonts w:hint="eastAsia"/>
          <w:b/>
          <w:bCs w:val="0"/>
          <w:sz w:val="32"/>
          <w:lang w:val="en-US" w:eastAsia="zh-CN"/>
        </w:rPr>
        <w:t>2.3应急处置小组及其职责</w:t>
      </w:r>
      <w:bookmarkEnd w:id="19"/>
    </w:p>
    <w:p w14:paraId="4D2E2F0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区危险化学品事故应急小组包括应急消防抢险组、治安警戒和交通管制组、医疗救护组、疏散安置组、环境监测组、气象监测组、应急保障组、现场督导组、新闻报道组和技术专家组。</w:t>
      </w:r>
    </w:p>
    <w:p w14:paraId="255D4B1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（1）应急消防抢险组，由区消防救援大队牵头成立。其职责为负责扑灭事故现场火灾，对现场受伤和失踪人员进行搜救，参与易燃易爆、有毒物质泄漏的处置等。</w:t>
      </w:r>
    </w:p>
    <w:p w14:paraId="5AFA564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治安警戒和交通管制组，由烈山公安分局与市交警四大队牵头成立。其职责为负责指挥、协调事故发生地现场治安秩序及危险区域隔离警戒；做好事故发生地交通管制和疏导工作；采取必要的交通管制措施，建立应急救援“绿色通道”机制。</w:t>
      </w:r>
    </w:p>
    <w:p w14:paraId="18390E2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（3）医疗救护组，由区卫生健康委员会牵头成立。其职责为在事故现场安全区域设立临时医疗救护站，组织应急医疗救援力量开展伤病员医疗救治工作，报告人员伤亡情况和伤病员救治信息。</w:t>
      </w:r>
    </w:p>
    <w:p w14:paraId="640A59C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（4）疏散安置组，由区民政局牵头成立。其职责为负责配合各镇（街道办、经开区）做好受灾转移群众安置工作，组织发放灾民生活救济款物，妥善安排受灾群众基本生活。</w:t>
      </w:r>
    </w:p>
    <w:p w14:paraId="1220E24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5）气象、环境监测与预警组，由区生态环境分局牵头成立。其职责为负责对事故现场及周边气候变化和环境污染情况进行实时监测，并及时向指挥部报告监测情况，按照指挥部决定，发布预警信息，开展控制、消除环境污染等相关工作。</w:t>
      </w:r>
    </w:p>
    <w:p w14:paraId="4B23E3F3">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（6）应急保障组，由区财政局、烈山道路运输管理服务中心、区科技工业信息化局组成。其职责为：</w:t>
      </w:r>
    </w:p>
    <w:p w14:paraId="6ED45578">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①区财政局负责按照分清渠道、分级负责的原则，落实区级危险化学品事故应急保障资金；</w:t>
      </w:r>
    </w:p>
    <w:p w14:paraId="4951A8F8">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②烈山道路运输管理服务中心负责组织协调有关单位做好应急救援交通运输保障工作；负责组织协调有关部门恢复道路、公路、桥梁等交通基础设施；</w:t>
      </w:r>
    </w:p>
    <w:p w14:paraId="27EFED99">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③区科技工业信息化局负责为处置事故提供政务网络、通讯保障及政务网络、信息安全保障，承担通讯保障的牵头工作；</w:t>
      </w:r>
    </w:p>
    <w:p w14:paraId="2597A95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④区应急管理局负责组织协调有关应急物资的储备、供应和调拨工作。</w:t>
      </w:r>
    </w:p>
    <w:p w14:paraId="4DE6D91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（8）现场督导组，由区应急指挥部根据事故类型委派人员组成。其职责为：</w:t>
      </w:r>
    </w:p>
    <w:p w14:paraId="048A3619">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①区应急指挥部发布Ⅳ级以上预警后，接受指挥部调遣，赶赴现场做好应急响应前现场应急督导工作；</w:t>
      </w:r>
    </w:p>
    <w:p w14:paraId="56471D9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②事故未发生时，及时收集、报告现场有关信息，加强现场情况的监测、报告工作；组织专业技术人员、有关专家对事态进行分析评估，预测发生事故可能性大小、影响范围和强度，指导可能发生事故的镇（街道办、经开区）做好事故应急救援准备。</w:t>
      </w:r>
    </w:p>
    <w:p w14:paraId="3418FD37">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③事故已经发生，但不需要启动区级应急救援时，现场督导组应对现场应急工作进行督导，并做好事故万一扩大、升级后需开展区级事故应急救援的准备。</w:t>
      </w:r>
    </w:p>
    <w:p w14:paraId="69FC4E8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（9）新闻报道组，由区委宣传部牵头成立。其职责为负责组织协调一般以上危险化学品事故的宣传报道工作，组织新闻单位进行危险化学品生产安全知识宣传，加强互联网舆论引导。</w:t>
      </w:r>
    </w:p>
    <w:p w14:paraId="7267AF0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（10）技术专家组，由危险化学品安全专家组成。</w:t>
      </w:r>
    </w:p>
    <w:p w14:paraId="3D90F110">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区应急指挥部统筹协调省、市专家库专家。其职责为：</w:t>
      </w:r>
    </w:p>
    <w:p w14:paraId="2A2EABC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①为本区危险化学品事故应急救援工作提供技术支持和现场咨询，参与媒体宣传、生产安全事故防范知识培训、教材编审等工作。</w:t>
      </w:r>
    </w:p>
    <w:p w14:paraId="6C360A7D">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③危险化学品事故发生时，负责对生产安全事故的危险性进行分析和预测，对应急救援能力进行评估，为危险化学品事故应急指挥部的指挥、决策提供依据和方案，对现场应急救援单位进行技术指导，为事故救援提供技术支持。</w:t>
      </w:r>
    </w:p>
    <w:p w14:paraId="70F291F8">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20" w:name="_Toc26542"/>
      <w:r>
        <w:rPr>
          <w:rFonts w:hint="eastAsia"/>
          <w:b/>
          <w:bCs w:val="0"/>
          <w:sz w:val="32"/>
          <w:lang w:val="en-US" w:eastAsia="zh-CN"/>
        </w:rPr>
        <w:t>2.4指挥部其他成员单位及职责</w:t>
      </w:r>
      <w:bookmarkEnd w:id="20"/>
    </w:p>
    <w:p w14:paraId="13AAE091">
      <w:pPr>
        <w:keepNext w:val="0"/>
        <w:keepLines w:val="0"/>
        <w:pageBreakBefore w:val="0"/>
        <w:widowControl/>
        <w:numPr>
          <w:ilvl w:val="0"/>
          <w:numId w:val="0"/>
        </w:numPr>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区财政局：负责协调国有控股企业做好应急配合工作。</w:t>
      </w:r>
    </w:p>
    <w:p w14:paraId="3A90344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lang w:val="en-US" w:eastAsia="zh-CN"/>
        </w:rPr>
      </w:pPr>
      <w:r>
        <w:rPr>
          <w:rFonts w:hint="eastAsia" w:ascii="仿宋_GB2312" w:cs="Times New Roman"/>
          <w:b w:val="0"/>
          <w:bCs w:val="0"/>
          <w:color w:val="000000"/>
          <w:kern w:val="0"/>
          <w:sz w:val="32"/>
          <w:szCs w:val="32"/>
          <w:lang w:val="en-US" w:eastAsia="zh-CN"/>
        </w:rPr>
        <w:t>区住房和城乡建设局：负</w:t>
      </w:r>
      <w:r>
        <w:rPr>
          <w:rFonts w:hint="eastAsia"/>
          <w:lang w:val="en-US" w:eastAsia="zh-CN"/>
        </w:rPr>
        <w:t>责</w:t>
      </w:r>
      <w:r>
        <w:rPr>
          <w:rFonts w:hint="eastAsia" w:ascii="仿宋_GB2312" w:cs="Times New Roman"/>
          <w:b w:val="0"/>
          <w:bCs w:val="0"/>
          <w:color w:val="000000"/>
          <w:kern w:val="0"/>
          <w:sz w:val="32"/>
          <w:szCs w:val="32"/>
          <w:lang w:val="en-US" w:eastAsia="zh-CN"/>
        </w:rPr>
        <w:t>配合开展因事故造成受损建筑物和园林绿化等领域危险化学品事故的调查、评估和应急处置工作。</w:t>
      </w:r>
    </w:p>
    <w:p w14:paraId="0F0075D0">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区生态环境分局：负责配合开展液氯等危险化学品事故的调查和应急处置工作。</w:t>
      </w:r>
    </w:p>
    <w:p w14:paraId="778D8ED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区市场监督管理监管局：负责组织压力容器和压力管道等特种设备事故的调查和应急处置工作。</w:t>
      </w:r>
    </w:p>
    <w:p w14:paraId="0B34370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区城市管理局：负责配合开展市容环境等领域危险化学品事故的调查和应急处置工作。</w:t>
      </w:r>
    </w:p>
    <w:p w14:paraId="2E0FC067">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default"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区人武部：参与应对事故灾难等应急救援和处置任务</w:t>
      </w:r>
    </w:p>
    <w:p w14:paraId="6CDBFF03">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各镇（街道、经开区管委会）：</w:t>
      </w:r>
    </w:p>
    <w:p w14:paraId="07AC85F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①负责组织、协调、实施本辖区危险化学品事故应急救援工作；</w:t>
      </w:r>
    </w:p>
    <w:p w14:paraId="323BE24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②负责建立本辖区危险化学品事故应急救援管理工作机制，制定本辖区危险化学品事故应急救援预案；</w:t>
      </w:r>
    </w:p>
    <w:p w14:paraId="1E82841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③组织辖区内的危险化学品事故防范及应急物资储备工作；</w:t>
      </w:r>
    </w:p>
    <w:p w14:paraId="7108771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④指挥、协调本辖区未达到一般危险化学品事故的前期应急救援工作；</w:t>
      </w:r>
    </w:p>
    <w:p w14:paraId="02EA595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⑤参与本辖区一般、较大、重大和特别重大危险化学品事故相关应急救援工作。</w:t>
      </w:r>
    </w:p>
    <w:p w14:paraId="74614B5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outlineLvl w:val="1"/>
        <w:rPr>
          <w:rFonts w:hint="eastAsia" w:ascii="楷体" w:hAnsi="楷体" w:eastAsia="楷体" w:cs="Times New Roman"/>
          <w:b/>
          <w:bCs w:val="0"/>
          <w:kern w:val="28"/>
          <w:sz w:val="32"/>
          <w:szCs w:val="32"/>
          <w:lang w:val="en-US" w:eastAsia="zh-CN" w:bidi="ar-SA"/>
        </w:rPr>
      </w:pPr>
      <w:bookmarkStart w:id="21" w:name="_Toc7620"/>
      <w:r>
        <w:rPr>
          <w:rFonts w:hint="eastAsia" w:ascii="楷体" w:hAnsi="楷体" w:eastAsia="楷体" w:cs="Times New Roman"/>
          <w:b/>
          <w:bCs w:val="0"/>
          <w:kern w:val="28"/>
          <w:sz w:val="32"/>
          <w:szCs w:val="32"/>
          <w:lang w:val="en-US" w:eastAsia="zh-CN" w:bidi="ar-SA"/>
        </w:rPr>
        <w:t>2.5区以下层面组织指挥机制</w:t>
      </w:r>
      <w:bookmarkEnd w:id="21"/>
    </w:p>
    <w:p w14:paraId="7AE8091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default"/>
          <w:lang w:val="en-US" w:eastAsia="zh-CN"/>
        </w:rPr>
      </w:pPr>
      <w:r>
        <w:rPr>
          <w:rFonts w:hint="eastAsia"/>
          <w:lang w:val="en-US" w:eastAsia="zh-CN"/>
        </w:rPr>
        <w:t>2.5.1镇、街道、经开区及基层组织</w:t>
      </w:r>
    </w:p>
    <w:p w14:paraId="1C6C52A3">
      <w:pPr>
        <w:pStyle w:val="12"/>
        <w:keepNext w:val="0"/>
        <w:keepLines w:val="0"/>
        <w:pageBreakBefore w:val="0"/>
        <w:widowControl w:val="0"/>
        <w:kinsoku/>
        <w:wordWrap/>
        <w:overflowPunct/>
        <w:topLinePunct w:val="0"/>
        <w:autoSpaceDE/>
        <w:autoSpaceDN/>
        <w:bidi w:val="0"/>
        <w:adjustRightInd/>
        <w:snapToGrid/>
        <w:spacing w:line="520" w:lineRule="exact"/>
        <w:ind w:left="0" w:leftChars="0" w:firstLine="622" w:firstLineChars="200"/>
        <w:textAlignment w:val="auto"/>
        <w:rPr>
          <w:rFonts w:hint="eastAsia"/>
          <w:lang w:val="en-US" w:eastAsia="zh-CN"/>
        </w:rPr>
      </w:pPr>
      <w:r>
        <w:rPr>
          <w:rFonts w:hint="eastAsia"/>
          <w:lang w:val="en-US" w:eastAsia="zh-CN"/>
        </w:rPr>
        <w:t>各镇、街道和经开区应当协助区政府及有关部门依法履行危险化学品生产安全事故应急工作职责。</w:t>
      </w:r>
    </w:p>
    <w:p w14:paraId="78A141DF">
      <w:pPr>
        <w:pStyle w:val="12"/>
        <w:keepNext w:val="0"/>
        <w:keepLines w:val="0"/>
        <w:pageBreakBefore w:val="0"/>
        <w:widowControl w:val="0"/>
        <w:kinsoku/>
        <w:wordWrap/>
        <w:overflowPunct/>
        <w:topLinePunct w:val="0"/>
        <w:autoSpaceDE/>
        <w:autoSpaceDN/>
        <w:bidi w:val="0"/>
        <w:adjustRightInd/>
        <w:snapToGrid/>
        <w:spacing w:line="520" w:lineRule="exact"/>
        <w:ind w:left="0" w:leftChars="0" w:firstLine="622" w:firstLineChars="200"/>
        <w:textAlignment w:val="auto"/>
        <w:rPr>
          <w:rFonts w:hint="eastAsia"/>
          <w:lang w:val="en-US" w:eastAsia="zh-CN"/>
        </w:rPr>
      </w:pPr>
      <w:r>
        <w:rPr>
          <w:rFonts w:hint="eastAsia"/>
          <w:lang w:val="en-US" w:eastAsia="zh-CN"/>
        </w:rPr>
        <w:t>村（居）委会协助做好本村（社区）危险化学品生产安全事故应急管理相关工作。</w:t>
      </w:r>
    </w:p>
    <w:p w14:paraId="2D6DAC9D">
      <w:pPr>
        <w:pStyle w:val="12"/>
        <w:keepNext w:val="0"/>
        <w:keepLines w:val="0"/>
        <w:pageBreakBefore w:val="0"/>
        <w:widowControl w:val="0"/>
        <w:kinsoku/>
        <w:wordWrap/>
        <w:overflowPunct/>
        <w:topLinePunct w:val="0"/>
        <w:autoSpaceDE/>
        <w:autoSpaceDN/>
        <w:bidi w:val="0"/>
        <w:adjustRightInd/>
        <w:snapToGrid/>
        <w:spacing w:line="520" w:lineRule="exact"/>
        <w:ind w:left="0" w:leftChars="0" w:firstLine="622" w:firstLineChars="200"/>
        <w:textAlignment w:val="auto"/>
        <w:rPr>
          <w:rFonts w:hint="eastAsia"/>
          <w:lang w:val="en-US" w:eastAsia="zh-CN"/>
        </w:rPr>
      </w:pPr>
      <w:r>
        <w:rPr>
          <w:rFonts w:hint="eastAsia"/>
          <w:lang w:val="en-US" w:eastAsia="zh-CN"/>
        </w:rPr>
        <w:t>2.5.2危险化学品生产经营单位</w:t>
      </w:r>
    </w:p>
    <w:p w14:paraId="46E19A3E">
      <w:pPr>
        <w:pStyle w:val="12"/>
        <w:keepNext w:val="0"/>
        <w:keepLines w:val="0"/>
        <w:pageBreakBefore w:val="0"/>
        <w:widowControl w:val="0"/>
        <w:kinsoku/>
        <w:wordWrap/>
        <w:overflowPunct/>
        <w:topLinePunct w:val="0"/>
        <w:autoSpaceDE/>
        <w:autoSpaceDN/>
        <w:bidi w:val="0"/>
        <w:adjustRightInd/>
        <w:snapToGrid/>
        <w:spacing w:line="460" w:lineRule="exact"/>
        <w:ind w:left="0" w:leftChars="0" w:firstLine="622" w:firstLineChars="200"/>
        <w:textAlignment w:val="auto"/>
        <w:rPr>
          <w:rFonts w:hint="default"/>
          <w:lang w:val="en-US" w:eastAsia="zh-CN"/>
        </w:rPr>
      </w:pPr>
      <w:r>
        <w:rPr>
          <w:rFonts w:hint="eastAsia"/>
          <w:lang w:val="en-US" w:eastAsia="zh-CN"/>
        </w:rPr>
        <w:t>危险化学品生产经营单位应贯彻落实国家有关应急工作要求，建立健全危险化学品生产安全应急预案体系，建立危险化学品安全生产应急组织机构，加强应急准备各项工作，依法落实危险化学品生产安全事故应急职责。</w:t>
      </w:r>
    </w:p>
    <w:p w14:paraId="4B323F68">
      <w:pPr>
        <w:pStyle w:val="11"/>
        <w:keepNext w:val="0"/>
        <w:keepLines w:val="0"/>
        <w:pageBreakBefore w:val="0"/>
        <w:kinsoku/>
        <w:wordWrap/>
        <w:overflowPunct/>
        <w:topLinePunct w:val="0"/>
        <w:autoSpaceDE/>
        <w:autoSpaceDN/>
        <w:bidi w:val="0"/>
        <w:adjustRightInd/>
        <w:snapToGrid/>
        <w:spacing w:line="460" w:lineRule="exact"/>
        <w:ind w:firstLine="622" w:firstLineChars="200"/>
        <w:jc w:val="both"/>
        <w:textAlignment w:val="auto"/>
        <w:rPr>
          <w:sz w:val="32"/>
        </w:rPr>
      </w:pPr>
      <w:bookmarkStart w:id="22" w:name="_Toc16461"/>
      <w:r>
        <w:rPr>
          <w:rFonts w:hint="eastAsia"/>
          <w:sz w:val="32"/>
          <w:lang w:val="en-US" w:eastAsia="zh-CN"/>
        </w:rPr>
        <w:t>三、</w:t>
      </w:r>
      <w:r>
        <w:rPr>
          <w:rFonts w:hint="eastAsia"/>
          <w:sz w:val="32"/>
        </w:rPr>
        <w:t>预防、监测与预警</w:t>
      </w:r>
      <w:bookmarkEnd w:id="22"/>
    </w:p>
    <w:p w14:paraId="249471F1">
      <w:pPr>
        <w:pStyle w:val="8"/>
        <w:keepNext w:val="0"/>
        <w:keepLines w:val="0"/>
        <w:pageBreakBefore w:val="0"/>
        <w:kinsoku/>
        <w:wordWrap/>
        <w:overflowPunct/>
        <w:topLinePunct w:val="0"/>
        <w:autoSpaceDE/>
        <w:autoSpaceDN/>
        <w:bidi w:val="0"/>
        <w:adjustRightInd/>
        <w:snapToGrid/>
        <w:spacing w:line="460" w:lineRule="exact"/>
        <w:ind w:firstLine="622" w:firstLineChars="200"/>
        <w:jc w:val="both"/>
        <w:textAlignment w:val="auto"/>
        <w:rPr>
          <w:b/>
          <w:bCs w:val="0"/>
          <w:sz w:val="32"/>
        </w:rPr>
      </w:pPr>
      <w:bookmarkStart w:id="23" w:name="_Toc4223"/>
      <w:r>
        <w:rPr>
          <w:rFonts w:hint="eastAsia"/>
          <w:b/>
          <w:bCs w:val="0"/>
          <w:sz w:val="32"/>
          <w:lang w:val="en-US" w:eastAsia="zh-CN"/>
        </w:rPr>
        <w:t>3.1</w:t>
      </w:r>
      <w:r>
        <w:rPr>
          <w:rFonts w:hint="eastAsia"/>
          <w:b/>
          <w:bCs w:val="0"/>
          <w:sz w:val="32"/>
        </w:rPr>
        <w:t>预防</w:t>
      </w:r>
      <w:bookmarkEnd w:id="23"/>
    </w:p>
    <w:p w14:paraId="09EDA1A2">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（1）推进危险化学品重大危险源信息系统的完善改进工作，组织强化对本区危险化学品重大危险源和危险化学品生产经营企业的监管。</w:t>
      </w:r>
    </w:p>
    <w:p w14:paraId="48285A3F">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（2）组织对全区危险化学品生产安全现状进行风险分析，督促企业落实重大安全隐患排查治理“五到位”。</w:t>
      </w:r>
    </w:p>
    <w:p w14:paraId="1D67FF6B">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（3）督促企业开展从业人员、安全管理人员和主要负责人的培训教育工作，增强员工安全意识，落实企业主体责任。</w:t>
      </w:r>
    </w:p>
    <w:p w14:paraId="23FF382D">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（4）推进危险化学品生产、经营、储存、使用单位安全标准化工作，提高企业安全管理水平。</w:t>
      </w:r>
    </w:p>
    <w:p w14:paraId="67E26E04">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（5）对广大群众进行有关危险化学品事故应急救援基本知识的普及教育。</w:t>
      </w:r>
    </w:p>
    <w:p w14:paraId="6C270B8C">
      <w:pPr>
        <w:pStyle w:val="8"/>
        <w:keepNext w:val="0"/>
        <w:keepLines w:val="0"/>
        <w:pageBreakBefore w:val="0"/>
        <w:kinsoku/>
        <w:wordWrap/>
        <w:overflowPunct/>
        <w:topLinePunct w:val="0"/>
        <w:autoSpaceDE/>
        <w:autoSpaceDN/>
        <w:bidi w:val="0"/>
        <w:adjustRightInd/>
        <w:snapToGrid/>
        <w:spacing w:line="460" w:lineRule="exact"/>
        <w:ind w:firstLine="622" w:firstLineChars="200"/>
        <w:jc w:val="both"/>
        <w:textAlignment w:val="auto"/>
        <w:rPr>
          <w:b/>
          <w:bCs w:val="0"/>
          <w:sz w:val="32"/>
        </w:rPr>
      </w:pPr>
      <w:bookmarkStart w:id="24" w:name="_Toc9716"/>
      <w:r>
        <w:rPr>
          <w:rFonts w:hint="eastAsia"/>
          <w:b/>
          <w:bCs w:val="0"/>
          <w:sz w:val="32"/>
          <w:lang w:val="en-US" w:eastAsia="zh-CN"/>
        </w:rPr>
        <w:t>3.2</w:t>
      </w:r>
      <w:r>
        <w:rPr>
          <w:rFonts w:hint="eastAsia"/>
          <w:b/>
          <w:bCs w:val="0"/>
          <w:sz w:val="32"/>
        </w:rPr>
        <w:t>监测</w:t>
      </w:r>
      <w:bookmarkEnd w:id="24"/>
    </w:p>
    <w:p w14:paraId="3CC4F89B">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逐步完善危险化学品重大危险源信息系统，督促企业结合自动检测、计算机仿真、计算机通信等现代高新技术，对重大危险源的安全状况进行实时监测监控，及时发现可能使重大危险源由安全状态向事故临界状态转化的各种参数变化趋势，给出预警信息或应急控制指令。</w:t>
      </w:r>
    </w:p>
    <w:p w14:paraId="60D7AE74">
      <w:pPr>
        <w:pStyle w:val="8"/>
        <w:keepNext w:val="0"/>
        <w:keepLines w:val="0"/>
        <w:pageBreakBefore w:val="0"/>
        <w:kinsoku/>
        <w:wordWrap/>
        <w:overflowPunct/>
        <w:topLinePunct w:val="0"/>
        <w:autoSpaceDE/>
        <w:autoSpaceDN/>
        <w:bidi w:val="0"/>
        <w:adjustRightInd/>
        <w:snapToGrid/>
        <w:spacing w:line="460" w:lineRule="exact"/>
        <w:ind w:firstLine="622" w:firstLineChars="200"/>
        <w:jc w:val="both"/>
        <w:textAlignment w:val="auto"/>
        <w:rPr>
          <w:rFonts w:hint="eastAsia"/>
          <w:b/>
          <w:bCs w:val="0"/>
          <w:sz w:val="32"/>
          <w:lang w:val="en-US" w:eastAsia="zh-CN"/>
        </w:rPr>
      </w:pPr>
      <w:bookmarkStart w:id="25" w:name="_Toc2855"/>
      <w:r>
        <w:rPr>
          <w:rFonts w:hint="eastAsia"/>
          <w:b/>
          <w:bCs w:val="0"/>
          <w:sz w:val="32"/>
          <w:lang w:val="en-US" w:eastAsia="zh-CN"/>
        </w:rPr>
        <w:t>3.3预警</w:t>
      </w:r>
      <w:bookmarkEnd w:id="25"/>
    </w:p>
    <w:p w14:paraId="6A361FB1">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3.3.1确定预警级别</w:t>
      </w:r>
    </w:p>
    <w:p w14:paraId="14D89967">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按照危险化学品事故紧急程度、发展态势和可能造成的危害，由高到低依次分为Ⅰ级、Ⅱ级、Ⅲ级和Ⅳ级，分别用红色、橙色、黄色、蓝色标示，Ⅰ级为最高级。</w:t>
      </w:r>
    </w:p>
    <w:p w14:paraId="28FBE2DA">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（1）Ⅰ级、Ⅱ级预警：二级以上预警信息级别按照国务院或国务院有关单位制定的具体划分标准执行。</w:t>
      </w:r>
    </w:p>
    <w:p w14:paraId="3B95BDBB">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（2）Ⅲ级预警：情况比较危急，有可能发生或引起较大事故的；或事故已经发生，有可能进一步扩大事故范围或引发次生、衍生事故，造成较大社会影响的；区应急指挥部认为需要发布Ⅲ级预警的其他情况。</w:t>
      </w:r>
    </w:p>
    <w:p w14:paraId="5EEF58CC">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（3）Ⅳ级预警：Ⅲ级以下应发布预警的有关情况。</w:t>
      </w:r>
    </w:p>
    <w:p w14:paraId="1FF4DD7D">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3.3.2预警发布和解除</w:t>
      </w:r>
    </w:p>
    <w:p w14:paraId="349A2990">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（1）Ⅳ级预警：由区政府负责发布和解除，并报市危险化学品事故应急指挥部备案。</w:t>
      </w:r>
    </w:p>
    <w:p w14:paraId="7505A5D3">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Ⅲ级预警：根据市政府授权，由区应急指挥部发布和解除；对于涉及面广、敏感复杂或处置不当后果严重的危险化学品较大事故或危险化学品重大涉险事故，报由市危险化学品事故应急指挥部办公室决定发布和解除Ⅲ级预警。</w:t>
      </w:r>
    </w:p>
    <w:p w14:paraId="54286444">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（3）Ⅱ级及以上预警：由省政府应急办根据省人民政府授权负责发布。</w:t>
      </w:r>
    </w:p>
    <w:p w14:paraId="215FC9ED">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根据事态发展和专家组的预警建议，应适时调整预警级别并重新发布。</w:t>
      </w:r>
    </w:p>
    <w:p w14:paraId="36A5963A">
      <w:pPr>
        <w:keepNext w:val="0"/>
        <w:keepLines w:val="0"/>
        <w:pageBreakBefore w:val="0"/>
        <w:widowControl/>
        <w:suppressLineNumbers w:val="0"/>
        <w:kinsoku/>
        <w:wordWrap/>
        <w:overflowPunct/>
        <w:topLinePunct w:val="0"/>
        <w:autoSpaceDE/>
        <w:autoSpaceDN/>
        <w:bidi w:val="0"/>
        <w:adjustRightInd/>
        <w:snapToGrid/>
        <w:spacing w:line="4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3.3.3预警内容</w:t>
      </w:r>
    </w:p>
    <w:p w14:paraId="2CE8533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预警信息应当包括发布机关、发布时间、可能发生的危险化学品事故类别、起始时间、可能影响范围、预警级别、警示事项、事态发展、相关措施、咨询电话等。</w:t>
      </w:r>
    </w:p>
    <w:p w14:paraId="5EC77C7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3.3.4预警方式</w:t>
      </w:r>
    </w:p>
    <w:p w14:paraId="1003CF83">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预警信息主要通过烈山区人民政府信息公开平台发布，同时充分利用各种有效通讯手段和传播媒介，如区政府及相关部门网站、广播、电视、报刊、互联网、手机短信、电子显示屏、有线电视、宣传车或组织人员通知等。</w:t>
      </w:r>
    </w:p>
    <w:p w14:paraId="1A90B6DA">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3.3.5预警措施</w:t>
      </w:r>
    </w:p>
    <w:p w14:paraId="60322490">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发布Ⅳ级以上预警后，区应急指挥部应做好应急救援准备，并组织现场督导组赶赴现场督导。根据实际情况，做好以下预警响应：</w:t>
      </w:r>
    </w:p>
    <w:p w14:paraId="25F4FF57">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事故未发生时，负有信息报告职责的人员及时收集、报告有关信息，加强事态发展情况的监测、预报和预警工作；组织专业技术人员、有关专家对事态进行分析评估，预测发生事故可能性大小、影响范围和强度，并通知可能发生地镇政府（街道办、经开区管委会）做好事故应急救援准备。</w:t>
      </w:r>
    </w:p>
    <w:p w14:paraId="4F1A678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（2）事故已经发生，但不需要启动区级应急救援时，由现场督导组对现场进行督导，并做好事故扩大、升级后需开展区级事故应急救援的准备。</w:t>
      </w:r>
    </w:p>
    <w:p w14:paraId="742B0AC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（3）事故升至需要启动区级事故应急救援时，现场督导组并入现场指挥部，按区级应急响应程序组织现场救援。</w:t>
      </w:r>
    </w:p>
    <w:p w14:paraId="3F61106D">
      <w:pPr>
        <w:pStyle w:val="11"/>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sz w:val="32"/>
        </w:rPr>
      </w:pPr>
      <w:bookmarkStart w:id="26" w:name="_Toc970"/>
      <w:r>
        <w:rPr>
          <w:rFonts w:hint="eastAsia"/>
          <w:sz w:val="32"/>
          <w:lang w:val="en-US" w:eastAsia="zh-CN"/>
        </w:rPr>
        <w:t>四、</w:t>
      </w:r>
      <w:r>
        <w:rPr>
          <w:rFonts w:hint="eastAsia"/>
          <w:sz w:val="32"/>
        </w:rPr>
        <w:t>应急处置与救援</w:t>
      </w:r>
      <w:bookmarkEnd w:id="26"/>
    </w:p>
    <w:p w14:paraId="443E3A5F">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27" w:name="_Toc5726"/>
      <w:r>
        <w:rPr>
          <w:rFonts w:hint="eastAsia"/>
          <w:b/>
          <w:bCs w:val="0"/>
          <w:sz w:val="32"/>
          <w:lang w:val="en-US" w:eastAsia="zh-CN"/>
        </w:rPr>
        <w:t>4.1信息报告和共享</w:t>
      </w:r>
      <w:bookmarkEnd w:id="27"/>
    </w:p>
    <w:p w14:paraId="2737671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（1）信息收集</w:t>
      </w:r>
    </w:p>
    <w:p w14:paraId="798B3943">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区应急指挥部办公室在日常工作中加强有关信息的管理，在事故发生前后获取有效的应急处置信息，主要关注以下几个方面信息：</w:t>
      </w:r>
    </w:p>
    <w:p w14:paraId="32DD5B3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①全区危险化学品企业分布以及周边环境情况；</w:t>
      </w:r>
    </w:p>
    <w:p w14:paraId="7145A36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②危险化学品重大危险源有关信息：</w:t>
      </w:r>
    </w:p>
    <w:p w14:paraId="13F8DC0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③有毒有害、易燃易爆危险化学品事故处置技术措施；</w:t>
      </w:r>
    </w:p>
    <w:p w14:paraId="6CD520E9">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④有关危险化学品运输信息；</w:t>
      </w:r>
    </w:p>
    <w:p w14:paraId="7F72148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⑤人员避难场所及避难生活用品信息；</w:t>
      </w:r>
    </w:p>
    <w:p w14:paraId="3DA8C66A">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⑥应急救援器材装备信息；</w:t>
      </w:r>
    </w:p>
    <w:p w14:paraId="6EC14059">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⑦应急救援队伍信息。</w:t>
      </w:r>
    </w:p>
    <w:p w14:paraId="6F3A0FB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4.1.2信息报告</w:t>
      </w:r>
    </w:p>
    <w:p w14:paraId="150CEF0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（1）获悉事故信息的公民、法人或其他组织，应当立即通过电话等各种渠道向所在地镇政府（街道办、经开区管委会）有关部门或区应急局报告；</w:t>
      </w:r>
    </w:p>
    <w:p w14:paraId="6955421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（2）接报单位核实事故信息后，应及时向区应急指挥部办公室报告危险化学品事故信息；</w:t>
      </w:r>
    </w:p>
    <w:p w14:paraId="558D87EA">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（3）发生一般以上危险化学品事故的，区应急指挥部办公室在接报后10分钟内，向市危险化学品事故应急指挥部办公室报告危险化学品事故信息。</w:t>
      </w:r>
    </w:p>
    <w:p w14:paraId="3385DC5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（4）对于事故比较敏感或发生在特殊时期，发生或可能发生危险化学品事故的信息，不受限制要立即向市危险化学品事故应急指挥部办公室报告。</w:t>
      </w:r>
    </w:p>
    <w:p w14:paraId="6E8EBF00">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4.1.3报告内容</w:t>
      </w:r>
    </w:p>
    <w:p w14:paraId="7146397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（1）事故发生单位概况；</w:t>
      </w:r>
    </w:p>
    <w:p w14:paraId="6B6D6D53">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（2）事故发生的时间、地点以及事故现场情况；</w:t>
      </w:r>
    </w:p>
    <w:p w14:paraId="545E5FB8">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（3）事故的简要经过；</w:t>
      </w:r>
    </w:p>
    <w:p w14:paraId="22DF244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（4）事故已经造成或可能造成的伤亡人数（包括下落不明的人数）和初步估计的直接经济损失；</w:t>
      </w:r>
    </w:p>
    <w:p w14:paraId="6111E68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（5）已经采取的措施；</w:t>
      </w:r>
    </w:p>
    <w:p w14:paraId="3940801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（6）其他应当报告的情况。</w:t>
      </w:r>
    </w:p>
    <w:p w14:paraId="574EFF1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使用电话快报，应当包括下列内容：</w:t>
      </w:r>
    </w:p>
    <w:p w14:paraId="37C8461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（1）事故发生单位的名称、地址、性质；</w:t>
      </w:r>
    </w:p>
    <w:p w14:paraId="6E8037B9">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（2）事故发生的时间、地点；</w:t>
      </w:r>
    </w:p>
    <w:p w14:paraId="5D2FB399">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（3）事故已经造成或可能造成的伤亡人数（包括下落不明、涉险的人数）。</w:t>
      </w:r>
    </w:p>
    <w:p w14:paraId="2BFAD0C9">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4.1.4报告方式</w:t>
      </w:r>
    </w:p>
    <w:p w14:paraId="28C5A741">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（1）书面报送：未建立应急值班信息系统的单位应采用书面报送。</w:t>
      </w:r>
    </w:p>
    <w:p w14:paraId="46BC57AB">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（2）电话口头报送：情况紧急时，可以采用电话口头报送方式，但应记录好已报送的内容。</w:t>
      </w:r>
    </w:p>
    <w:p w14:paraId="03155AF4">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（3）手机信息、电子邮件等：在紧急情况下，手机信息、电子邮件等可以作为辅助报送形式。接报单位要核实上报人的身份，做好完整记录。</w:t>
      </w:r>
    </w:p>
    <w:p w14:paraId="6DAD9A01">
      <w:pPr>
        <w:pStyle w:val="8"/>
        <w:keepNext w:val="0"/>
        <w:keepLines w:val="0"/>
        <w:pageBreakBefore w:val="0"/>
        <w:kinsoku/>
        <w:wordWrap/>
        <w:overflowPunct/>
        <w:topLinePunct w:val="0"/>
        <w:autoSpaceDE/>
        <w:autoSpaceDN/>
        <w:bidi w:val="0"/>
        <w:adjustRightInd/>
        <w:snapToGrid/>
        <w:spacing w:line="560" w:lineRule="exact"/>
        <w:ind w:firstLine="622" w:firstLineChars="200"/>
        <w:jc w:val="both"/>
        <w:textAlignment w:val="auto"/>
        <w:rPr>
          <w:rFonts w:hint="eastAsia"/>
          <w:b/>
          <w:bCs w:val="0"/>
          <w:sz w:val="32"/>
          <w:lang w:val="en-US" w:eastAsia="zh-CN"/>
        </w:rPr>
      </w:pPr>
      <w:bookmarkStart w:id="28" w:name="_Toc18840"/>
      <w:r>
        <w:rPr>
          <w:rFonts w:hint="eastAsia"/>
          <w:b/>
          <w:bCs w:val="0"/>
          <w:sz w:val="32"/>
          <w:lang w:val="en-US" w:eastAsia="zh-CN"/>
        </w:rPr>
        <w:t>4.2先期处置</w:t>
      </w:r>
      <w:bookmarkEnd w:id="28"/>
    </w:p>
    <w:p w14:paraId="17BAD65A">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事发单位、事发地村居（社区）应当立即启动应急救援响应程序，配合组织应急救援力量营救受伤人员，搜寻、疏散、撤离、安置受到威胁的人员；控制、标明危险区域，封锁危险场所，采取其他防止危害扩大的必要措施；向镇政府（街道办、经开区管委会）和有关单位报告信息。</w:t>
      </w:r>
    </w:p>
    <w:p w14:paraId="56579B6F">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（2）事发地镇政府（街道办、经开区管委会）应立即开展先期处置工作，以营救遇险人员为重点；采取必要措施，防止发生次生、衍生事故，避免造成更大的人员伤亡、财产损失。</w:t>
      </w:r>
    </w:p>
    <w:p w14:paraId="49E7217E">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（3）事发地村委会、居委会、其他企事业单位等组织应当按照政府的决定、命令，进行宣传动员，组织群众开展自救和互救，协助维护社会秩序。</w:t>
      </w:r>
    </w:p>
    <w:p w14:paraId="27E345C1">
      <w:pPr>
        <w:pStyle w:val="8"/>
        <w:keepNext w:val="0"/>
        <w:keepLines w:val="0"/>
        <w:pageBreakBefore w:val="0"/>
        <w:kinsoku/>
        <w:wordWrap/>
        <w:overflowPunct/>
        <w:topLinePunct w:val="0"/>
        <w:autoSpaceDE/>
        <w:autoSpaceDN/>
        <w:bidi w:val="0"/>
        <w:adjustRightInd/>
        <w:snapToGrid/>
        <w:spacing w:line="560" w:lineRule="exact"/>
        <w:ind w:firstLine="622" w:firstLineChars="200"/>
        <w:jc w:val="both"/>
        <w:textAlignment w:val="auto"/>
        <w:rPr>
          <w:rFonts w:hint="eastAsia"/>
          <w:b/>
          <w:bCs w:val="0"/>
          <w:sz w:val="32"/>
          <w:lang w:val="en-US" w:eastAsia="zh-CN"/>
        </w:rPr>
      </w:pPr>
      <w:bookmarkStart w:id="29" w:name="_Toc3507"/>
      <w:r>
        <w:rPr>
          <w:rFonts w:hint="eastAsia"/>
          <w:b/>
          <w:bCs w:val="0"/>
          <w:sz w:val="32"/>
          <w:lang w:val="en-US" w:eastAsia="zh-CN"/>
        </w:rPr>
        <w:t>4.3应急响应</w:t>
      </w:r>
      <w:bookmarkEnd w:id="29"/>
    </w:p>
    <w:p w14:paraId="75B846E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default"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危险化学品生产安全事故应遵循分级负责、属地为主的原则。当事故超出事发地人民政府的处置能力时、由上一级政府提供支援或组织应对。</w:t>
      </w:r>
    </w:p>
    <w:p w14:paraId="03E2B8F5">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4.3.1分级响应</w:t>
      </w:r>
    </w:p>
    <w:p w14:paraId="7C10C99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Ⅳ级（一般）危险化学品事故由区政府按照相关专项预案规定启动应急响应程序，组织和指挥辖区各方面力量进行应急救援和事故处置。</w:t>
      </w:r>
    </w:p>
    <w:p w14:paraId="2F9369F0">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Ⅲ级（较大）、Ⅱ级（重大）和I级（特别重大）危险化学品事故报由市危险化学品事故应急指挥部，并在市危险化学品事故应急指挥部指示下启动应急响应。</w:t>
      </w:r>
    </w:p>
    <w:p w14:paraId="067CFF7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Ⅳ级响应：区应急指挥部指挥协调应急处置工作，事发地镇政府（街道办、经开区管委会）协助做好相关工作，由区应急指挥部根据实际需要，成立现场指挥部。必要时由区政府领导指挥协调有关部门开展工作。</w:t>
      </w:r>
    </w:p>
    <w:p w14:paraId="5D8DD9B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Ⅲ级以上响应：应急响应工作经区危险化学品事故指挥部研判确定后，在前一级响应的基础上，根据上级应急机构的指示，由区应急指挥部进行统一指挥与部署，组织和协调各方面力量进行先期处置工作。区应急指挥部和事故发生地镇政府（街道办、经开区管委会）及相关部门实行24小时值班，负责组织、协调本部门或本辖区的应急救援资源调配工作。</w:t>
      </w:r>
    </w:p>
    <w:p w14:paraId="29C4E09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4.3.2启动条件</w:t>
      </w:r>
    </w:p>
    <w:p w14:paraId="6F09D6C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符合下列情况之一的，由区应急指挥部决定启动应急响应：</w:t>
      </w:r>
    </w:p>
    <w:p w14:paraId="6E90DBA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（1）发生Ⅳ级以上危险化学品事故的；</w:t>
      </w:r>
    </w:p>
    <w:p w14:paraId="1745717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（2）发生需要区级应急力量进行增援的危险化学品事故的；</w:t>
      </w:r>
    </w:p>
    <w:p w14:paraId="2E6BB19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（3）区危险化学品事故应急救援指挥部认为需要启动本级应急响应的。</w:t>
      </w:r>
    </w:p>
    <w:p w14:paraId="6E3342C5">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4.3.3基本响应</w:t>
      </w:r>
    </w:p>
    <w:p w14:paraId="06433FD7">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事故所在地镇政府（街道办、经开区管委会）作为第一响应责任单位，应在事发后10分钟内启动本辖区为主体的先期处置机制。有关人员第一时间赶赴现场开展现场控制、人员疏散、警戒、人员救护等基础处置工作；第一响应责任单位应收集事故现场动态信息，对初步判断属于一般以上级别的危险化学品事故，应立即报告区应急指挥部办公室。</w:t>
      </w:r>
    </w:p>
    <w:p w14:paraId="202DECB7">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区应急指挥部接报后立即通知指挥部领导并在30分钟内作出综合分析，按照分级响应权限通知相关单位，组织专业人员前往事发现场。经现场确认为一般以上危险化学品事故的，在指定地点立即成立现场指挥部。</w:t>
      </w:r>
    </w:p>
    <w:p w14:paraId="1880198D">
      <w:pPr>
        <w:pStyle w:val="8"/>
        <w:keepNext w:val="0"/>
        <w:keepLines w:val="0"/>
        <w:pageBreakBefore w:val="0"/>
        <w:kinsoku/>
        <w:wordWrap/>
        <w:overflowPunct/>
        <w:topLinePunct w:val="0"/>
        <w:autoSpaceDE/>
        <w:autoSpaceDN/>
        <w:bidi w:val="0"/>
        <w:adjustRightInd/>
        <w:snapToGrid/>
        <w:spacing w:line="540" w:lineRule="exact"/>
        <w:ind w:firstLine="622" w:firstLineChars="200"/>
        <w:jc w:val="both"/>
        <w:textAlignment w:val="auto"/>
        <w:rPr>
          <w:rFonts w:hint="eastAsia"/>
          <w:b/>
          <w:bCs w:val="0"/>
          <w:sz w:val="32"/>
          <w:lang w:val="en-US" w:eastAsia="zh-CN"/>
        </w:rPr>
      </w:pPr>
      <w:bookmarkStart w:id="30" w:name="_Toc3067"/>
      <w:r>
        <w:rPr>
          <w:rFonts w:hint="eastAsia"/>
          <w:b/>
          <w:bCs w:val="0"/>
          <w:sz w:val="32"/>
          <w:lang w:val="en-US" w:eastAsia="zh-CN"/>
        </w:rPr>
        <w:t>4.4指挥协调</w:t>
      </w:r>
      <w:bookmarkEnd w:id="30"/>
    </w:p>
    <w:p w14:paraId="673FCAF5">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启动应急响应时，区应急指挥部按照“统一指挥，属地为主，专业处置”的要求，组织开展应急处置工作。</w:t>
      </w:r>
    </w:p>
    <w:p w14:paraId="26D8AA05">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应急指挥部指挥协调的主要内容包括：</w:t>
      </w:r>
    </w:p>
    <w:p w14:paraId="38E2DB09">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（1）提出现场应急行动原则要求；</w:t>
      </w:r>
    </w:p>
    <w:p w14:paraId="2D86A248">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（2）派出有关专家和人员参与现场指挥部的应急指挥工作；</w:t>
      </w:r>
    </w:p>
    <w:p w14:paraId="445B3BA5">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（3）协调各级、各专业应急力量实施应急救援行动；</w:t>
      </w:r>
    </w:p>
    <w:p w14:paraId="32E91966">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（4）协调开展受威胁的周边地区危险源的监控工作；</w:t>
      </w:r>
    </w:p>
    <w:p w14:paraId="3EAEDCB0">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（5）协调建立现场警戒区和交通管制区域，确定重点防护区域；</w:t>
      </w:r>
    </w:p>
    <w:p w14:paraId="0EB507E2">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（6）根据现场评估，确定被转移、疏散群众返回时间；</w:t>
      </w:r>
    </w:p>
    <w:p w14:paraId="76FE30C4">
      <w:pPr>
        <w:keepNext w:val="0"/>
        <w:keepLines w:val="0"/>
        <w:pageBreakBefore w:val="0"/>
        <w:widowControl/>
        <w:suppressLineNumbers w:val="0"/>
        <w:kinsoku/>
        <w:wordWrap/>
        <w:overflowPunct/>
        <w:topLinePunct w:val="0"/>
        <w:autoSpaceDE/>
        <w:autoSpaceDN/>
        <w:bidi w:val="0"/>
        <w:adjustRightInd/>
        <w:snapToGrid/>
        <w:spacing w:line="54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（7）必要时请求上级相关救援力量应急增援。</w:t>
      </w:r>
    </w:p>
    <w:p w14:paraId="0FB71AC4">
      <w:pPr>
        <w:pStyle w:val="8"/>
        <w:keepNext w:val="0"/>
        <w:keepLines w:val="0"/>
        <w:pageBreakBefore w:val="0"/>
        <w:kinsoku/>
        <w:wordWrap/>
        <w:overflowPunct/>
        <w:topLinePunct w:val="0"/>
        <w:autoSpaceDE/>
        <w:autoSpaceDN/>
        <w:bidi w:val="0"/>
        <w:adjustRightInd/>
        <w:snapToGrid/>
        <w:spacing w:line="540" w:lineRule="exact"/>
        <w:ind w:firstLine="622" w:firstLineChars="200"/>
        <w:jc w:val="both"/>
        <w:textAlignment w:val="auto"/>
        <w:rPr>
          <w:rFonts w:hint="eastAsia"/>
          <w:b/>
          <w:bCs w:val="0"/>
          <w:sz w:val="32"/>
          <w:lang w:val="en-US" w:eastAsia="zh-CN"/>
        </w:rPr>
      </w:pPr>
      <w:bookmarkStart w:id="31" w:name="_Toc17804"/>
      <w:r>
        <w:rPr>
          <w:rFonts w:hint="eastAsia"/>
          <w:b/>
          <w:bCs w:val="0"/>
          <w:sz w:val="32"/>
          <w:lang w:val="en-US" w:eastAsia="zh-CN"/>
        </w:rPr>
        <w:t>4.5现场指挥部与现场指挥长</w:t>
      </w:r>
      <w:bookmarkEnd w:id="31"/>
    </w:p>
    <w:p w14:paraId="43C5ED6A">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启动Ⅳ级以上应急响应时，区应急指挥部牵头，组织有关部门（单位）成立现场指挥部。现场指挥部实行现场指挥长负责制。现场指挥长由区应急指挥部执行总指挥兼任。</w:t>
      </w:r>
    </w:p>
    <w:p w14:paraId="7AFEF1BD">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现场指挥长统一组织、指挥现场应急救援工作。现场指挥长有权决定现场处置方案，协调有关单位和部门的现场应急处置工作，指挥调度现场应急队伍和应急资源。</w:t>
      </w:r>
    </w:p>
    <w:p w14:paraId="3686BB30">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现场指挥部吸收涉事地政府和涉事单位负责人以及相关专家为成员，参加现场应急救援的队伍和人员在现场指挥部统一协调下进行应急救援和处置工作。与事故有关的部门和单位应当主动向现场指挥部提供与应急处置有关的信息资料，为实施应急处置工作提供各种便利条件。</w:t>
      </w:r>
    </w:p>
    <w:p w14:paraId="601302F2">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根据现场情况设置有关应急处置小组。各应急处置小组在现场指挥部统一领导下，各尽其责完成现场各项应急处置工作。</w:t>
      </w:r>
    </w:p>
    <w:p w14:paraId="2ADA5F50">
      <w:pPr>
        <w:pStyle w:val="8"/>
        <w:keepNext w:val="0"/>
        <w:keepLines w:val="0"/>
        <w:pageBreakBefore w:val="0"/>
        <w:kinsoku/>
        <w:wordWrap/>
        <w:overflowPunct/>
        <w:topLinePunct w:val="0"/>
        <w:autoSpaceDE/>
        <w:autoSpaceDN/>
        <w:bidi w:val="0"/>
        <w:adjustRightInd/>
        <w:snapToGrid/>
        <w:spacing w:line="560" w:lineRule="exact"/>
        <w:ind w:firstLine="622" w:firstLineChars="200"/>
        <w:jc w:val="both"/>
        <w:textAlignment w:val="auto"/>
        <w:rPr>
          <w:rFonts w:hint="eastAsia"/>
          <w:b/>
          <w:bCs w:val="0"/>
          <w:sz w:val="32"/>
          <w:lang w:val="en-US" w:eastAsia="zh-CN"/>
        </w:rPr>
      </w:pPr>
      <w:bookmarkStart w:id="32" w:name="_Toc32524"/>
      <w:r>
        <w:rPr>
          <w:rFonts w:hint="eastAsia"/>
          <w:b/>
          <w:bCs w:val="0"/>
          <w:sz w:val="32"/>
          <w:lang w:val="en-US" w:eastAsia="zh-CN"/>
        </w:rPr>
        <w:t>4.6处置措施</w:t>
      </w:r>
      <w:bookmarkEnd w:id="32"/>
    </w:p>
    <w:p w14:paraId="3D89C24D">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事故情况比较复杂，各种危险化学品危险特性不同，理化性能存在差异。根据其毒害性、消防要求，个人防护条件、救援人员专业知识、应急器材、周边环境等不同情况，现场处置需专家组进行针对性指导，提出具体处置措施。</w:t>
      </w:r>
    </w:p>
    <w:p w14:paraId="1807DD98">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现场处置注意事项包括：</w:t>
      </w:r>
    </w:p>
    <w:p w14:paraId="164D97D8">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（1）佩戴个人防护器具方面的注意事项；</w:t>
      </w:r>
    </w:p>
    <w:p w14:paraId="00FC971B">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（2）使用抢险救援器材方面的注意事项；</w:t>
      </w:r>
    </w:p>
    <w:p w14:paraId="0DFAC72A">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（3）采取救援对策或措施方面的注意事项；</w:t>
      </w:r>
    </w:p>
    <w:p w14:paraId="1CB9C9E9">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（4）现场自救和互救注意事项；</w:t>
      </w:r>
    </w:p>
    <w:p w14:paraId="6FBDF6BD">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（5）现场应急处置能力确认和人员安全防护等事项；</w:t>
      </w:r>
    </w:p>
    <w:p w14:paraId="7EB867DF">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（6）应急救援结束后的注意事项；</w:t>
      </w:r>
    </w:p>
    <w:p w14:paraId="1F41CC5D">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（7）其他需要特别警示的事项。</w:t>
      </w:r>
    </w:p>
    <w:p w14:paraId="79AB27A2">
      <w:pPr>
        <w:pStyle w:val="8"/>
        <w:keepNext w:val="0"/>
        <w:keepLines w:val="0"/>
        <w:pageBreakBefore w:val="0"/>
        <w:kinsoku/>
        <w:wordWrap/>
        <w:overflowPunct/>
        <w:topLinePunct w:val="0"/>
        <w:autoSpaceDE/>
        <w:autoSpaceDN/>
        <w:bidi w:val="0"/>
        <w:adjustRightInd/>
        <w:snapToGrid/>
        <w:spacing w:line="500" w:lineRule="exact"/>
        <w:ind w:firstLine="622" w:firstLineChars="200"/>
        <w:jc w:val="both"/>
        <w:textAlignment w:val="auto"/>
        <w:rPr>
          <w:rFonts w:hint="eastAsia"/>
          <w:b/>
          <w:bCs w:val="0"/>
          <w:sz w:val="32"/>
          <w:lang w:val="en-US" w:eastAsia="zh-CN"/>
        </w:rPr>
      </w:pPr>
      <w:bookmarkStart w:id="33" w:name="_Toc21927"/>
      <w:r>
        <w:rPr>
          <w:rFonts w:hint="eastAsia"/>
          <w:b/>
          <w:bCs w:val="0"/>
          <w:sz w:val="32"/>
          <w:lang w:val="en-US" w:eastAsia="zh-CN"/>
        </w:rPr>
        <w:t>4.7响应升级</w:t>
      </w:r>
      <w:bookmarkEnd w:id="33"/>
    </w:p>
    <w:p w14:paraId="53B9E939">
      <w:pPr>
        <w:keepNext w:val="0"/>
        <w:keepLines w:val="0"/>
        <w:pageBreakBefore w:val="0"/>
        <w:widowControl/>
        <w:suppressLineNumbers w:val="0"/>
        <w:kinsoku/>
        <w:wordWrap/>
        <w:overflowPunct/>
        <w:topLinePunct w:val="0"/>
        <w:autoSpaceDE/>
        <w:autoSpaceDN/>
        <w:bidi w:val="0"/>
        <w:adjustRightInd/>
        <w:snapToGrid/>
        <w:spacing w:line="50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因危险化学品事故次生或衍生其他突发事件，已经采取的应急措施不足以控制事态发展，需要其他专业应急指挥部参与应急处置的，区应急指挥部应及时报告区委、区政府。如果波及周边区县的，应以区政府的名义，协调周边地区启动应急联动机制。</w:t>
      </w:r>
    </w:p>
    <w:p w14:paraId="2BD87CA6">
      <w:pPr>
        <w:keepNext w:val="0"/>
        <w:keepLines w:val="0"/>
        <w:pageBreakBefore w:val="0"/>
        <w:widowControl/>
        <w:suppressLineNumbers w:val="0"/>
        <w:kinsoku/>
        <w:wordWrap/>
        <w:overflowPunct/>
        <w:topLinePunct w:val="0"/>
        <w:autoSpaceDE/>
        <w:autoSpaceDN/>
        <w:bidi w:val="0"/>
        <w:adjustRightInd/>
        <w:snapToGrid/>
        <w:spacing w:line="50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当危险化学品事故造成的危害程度超出本区自身控制能力，需要市或省级有关部门或市外资源支持的，由区政府报请市政府协调相关资源的支持。</w:t>
      </w:r>
    </w:p>
    <w:p w14:paraId="3A61764F">
      <w:pPr>
        <w:pStyle w:val="8"/>
        <w:keepNext w:val="0"/>
        <w:keepLines w:val="0"/>
        <w:pageBreakBefore w:val="0"/>
        <w:kinsoku/>
        <w:wordWrap/>
        <w:overflowPunct/>
        <w:topLinePunct w:val="0"/>
        <w:autoSpaceDE/>
        <w:autoSpaceDN/>
        <w:bidi w:val="0"/>
        <w:adjustRightInd/>
        <w:snapToGrid/>
        <w:spacing w:line="500" w:lineRule="exact"/>
        <w:ind w:firstLine="622" w:firstLineChars="200"/>
        <w:jc w:val="both"/>
        <w:textAlignment w:val="auto"/>
        <w:rPr>
          <w:rFonts w:hint="eastAsia"/>
          <w:b/>
          <w:bCs w:val="0"/>
          <w:sz w:val="32"/>
          <w:lang w:val="en-US" w:eastAsia="zh-CN"/>
        </w:rPr>
      </w:pPr>
      <w:bookmarkStart w:id="34" w:name="_Toc26483"/>
      <w:r>
        <w:rPr>
          <w:rFonts w:hint="eastAsia"/>
          <w:b/>
          <w:bCs w:val="0"/>
          <w:sz w:val="32"/>
          <w:lang w:val="en-US" w:eastAsia="zh-CN"/>
        </w:rPr>
        <w:t>4.8社会动员</w:t>
      </w:r>
      <w:bookmarkEnd w:id="34"/>
    </w:p>
    <w:p w14:paraId="51D2FCFC">
      <w:pPr>
        <w:keepNext w:val="0"/>
        <w:keepLines w:val="0"/>
        <w:pageBreakBefore w:val="0"/>
        <w:widowControl/>
        <w:suppressLineNumbers w:val="0"/>
        <w:kinsoku/>
        <w:wordWrap/>
        <w:overflowPunct/>
        <w:topLinePunct w:val="0"/>
        <w:autoSpaceDE/>
        <w:autoSpaceDN/>
        <w:bidi w:val="0"/>
        <w:adjustRightInd/>
        <w:snapToGrid/>
        <w:spacing w:line="50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根据危险化学品事故的危险程度、影响范围、人员伤亡等情况和应对工作需要，区政府可发布社会动员令或公告，动员有专业知识和技能的公民、具备应急救援资源的企事业单位、社会团体、基层群众自治组织和其他力量，协助政府及有关部门做好事故预防、自救互救、紧急救援、秩序维护、后勤保障、恢复重建等处置工作。</w:t>
      </w:r>
    </w:p>
    <w:p w14:paraId="74B5B162">
      <w:pPr>
        <w:pStyle w:val="8"/>
        <w:keepNext w:val="0"/>
        <w:keepLines w:val="0"/>
        <w:pageBreakBefore w:val="0"/>
        <w:kinsoku/>
        <w:wordWrap/>
        <w:overflowPunct/>
        <w:topLinePunct w:val="0"/>
        <w:autoSpaceDE/>
        <w:autoSpaceDN/>
        <w:bidi w:val="0"/>
        <w:adjustRightInd/>
        <w:snapToGrid/>
        <w:spacing w:line="500" w:lineRule="exact"/>
        <w:ind w:firstLine="622" w:firstLineChars="200"/>
        <w:jc w:val="both"/>
        <w:textAlignment w:val="auto"/>
        <w:rPr>
          <w:rFonts w:hint="eastAsia"/>
          <w:b/>
          <w:bCs w:val="0"/>
          <w:sz w:val="32"/>
          <w:lang w:val="en-US" w:eastAsia="zh-CN"/>
        </w:rPr>
      </w:pPr>
      <w:bookmarkStart w:id="35" w:name="_Toc21604"/>
      <w:r>
        <w:rPr>
          <w:rFonts w:hint="eastAsia"/>
          <w:b/>
          <w:bCs w:val="0"/>
          <w:sz w:val="32"/>
          <w:lang w:val="en-US" w:eastAsia="zh-CN"/>
        </w:rPr>
        <w:t>4.9信息发布</w:t>
      </w:r>
      <w:bookmarkEnd w:id="35"/>
    </w:p>
    <w:p w14:paraId="4F2C86A6">
      <w:pPr>
        <w:keepNext w:val="0"/>
        <w:keepLines w:val="0"/>
        <w:pageBreakBefore w:val="0"/>
        <w:widowControl/>
        <w:suppressLineNumbers w:val="0"/>
        <w:kinsoku/>
        <w:wordWrap/>
        <w:overflowPunct/>
        <w:topLinePunct w:val="0"/>
        <w:autoSpaceDE/>
        <w:autoSpaceDN/>
        <w:bidi w:val="0"/>
        <w:adjustRightInd/>
        <w:snapToGrid/>
        <w:spacing w:line="50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发生较大以上生产安全事故，以及有可能影响公众生产生活的突发事件，区委宣传部负责协调和指导有关部门（单位），在启动应急响应2小时之内发布突发事件基本信息。随后发布初步核实情况、政府处置措施和公众防范措施等，并根据事件处置情况做好后续发布工作，直至发布应急结束信息。</w:t>
      </w:r>
    </w:p>
    <w:p w14:paraId="390682A2">
      <w:pPr>
        <w:pStyle w:val="8"/>
        <w:keepNext w:val="0"/>
        <w:keepLines w:val="0"/>
        <w:pageBreakBefore w:val="0"/>
        <w:kinsoku/>
        <w:wordWrap/>
        <w:overflowPunct/>
        <w:topLinePunct w:val="0"/>
        <w:autoSpaceDE/>
        <w:autoSpaceDN/>
        <w:bidi w:val="0"/>
        <w:adjustRightInd/>
        <w:snapToGrid/>
        <w:spacing w:line="500" w:lineRule="exact"/>
        <w:ind w:firstLine="622" w:firstLineChars="200"/>
        <w:jc w:val="both"/>
        <w:textAlignment w:val="auto"/>
        <w:rPr>
          <w:rFonts w:hint="eastAsia"/>
          <w:b/>
          <w:bCs w:val="0"/>
          <w:sz w:val="32"/>
          <w:lang w:val="en-US" w:eastAsia="zh-CN"/>
        </w:rPr>
      </w:pPr>
      <w:bookmarkStart w:id="36" w:name="_Toc15625"/>
      <w:r>
        <w:rPr>
          <w:rFonts w:hint="eastAsia"/>
          <w:b/>
          <w:bCs w:val="0"/>
          <w:sz w:val="32"/>
          <w:lang w:val="en-US" w:eastAsia="zh-CN"/>
        </w:rPr>
        <w:t>4.10应急结束</w:t>
      </w:r>
      <w:bookmarkEnd w:id="36"/>
    </w:p>
    <w:p w14:paraId="129B3D6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事故处置工作已基本完成，发生次生、衍生事故的隐患和事故危害基本消除，区应急指挥部根据各部门上报情况决定应急处置工作结束。应急处置结束后，区应急指挥部应将情况及时通知参与事故处置的各相关单位，并向市应急管理局报告。</w:t>
      </w:r>
    </w:p>
    <w:p w14:paraId="6EA9F1E0">
      <w:pPr>
        <w:pStyle w:val="11"/>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sz w:val="32"/>
        </w:rPr>
      </w:pPr>
      <w:bookmarkStart w:id="37" w:name="_Toc29027"/>
      <w:r>
        <w:rPr>
          <w:rFonts w:hint="eastAsia"/>
          <w:sz w:val="32"/>
        </w:rPr>
        <w:t>五、后期处置</w:t>
      </w:r>
      <w:bookmarkEnd w:id="37"/>
    </w:p>
    <w:p w14:paraId="4A5F6CFE">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38" w:name="_Toc21351"/>
      <w:r>
        <w:rPr>
          <w:rFonts w:hint="eastAsia"/>
          <w:b/>
          <w:bCs w:val="0"/>
          <w:sz w:val="32"/>
          <w:lang w:val="en-US" w:eastAsia="zh-CN"/>
        </w:rPr>
        <w:t>5.1善后处置</w:t>
      </w:r>
      <w:bookmarkEnd w:id="38"/>
    </w:p>
    <w:p w14:paraId="59A7F5A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事故事发地镇政府（街道办、经开区管委会）以及民政等部门具体负责各项善后处置工作，包括：人员安置与补偿，污染物收集、清理和处理等，要及时消除事故影响，妥善安置和慰问受害和受影响人员，尽快恢复正常秩序，保证社会稳定。</w:t>
      </w:r>
    </w:p>
    <w:p w14:paraId="4206E398">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39" w:name="_Toc4690"/>
      <w:r>
        <w:rPr>
          <w:rFonts w:hint="eastAsia"/>
          <w:b/>
          <w:bCs w:val="0"/>
          <w:sz w:val="32"/>
          <w:lang w:val="en-US" w:eastAsia="zh-CN"/>
        </w:rPr>
        <w:t>5.2社会救助</w:t>
      </w:r>
      <w:bookmarkEnd w:id="39"/>
    </w:p>
    <w:p w14:paraId="6F271FF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危险化学品事故发生后，事发地镇政府（街道办、经开区管委会）以及民政等部门负责做好对困难家庭的救助工作，做好社会各界提供的救援物资及资金的接收、分配和使用等工作。</w:t>
      </w:r>
    </w:p>
    <w:p w14:paraId="28E18CAD">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40" w:name="_Toc16411"/>
      <w:r>
        <w:rPr>
          <w:rFonts w:hint="eastAsia"/>
          <w:b/>
          <w:bCs w:val="0"/>
          <w:sz w:val="32"/>
          <w:lang w:val="en-US" w:eastAsia="zh-CN"/>
        </w:rPr>
        <w:t>5.3保险</w:t>
      </w:r>
      <w:bookmarkEnd w:id="40"/>
    </w:p>
    <w:p w14:paraId="25D7FBB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危险化学品事故发生后，保险机构要及时开展应急救援人员保险受理和受灾人员保险理赔工作。相关机构要督促有关承保单位快速勘察并及时理赔。</w:t>
      </w:r>
    </w:p>
    <w:p w14:paraId="06D4516F">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41" w:name="_Toc27349"/>
      <w:r>
        <w:rPr>
          <w:rFonts w:hint="eastAsia"/>
          <w:b/>
          <w:bCs w:val="0"/>
          <w:sz w:val="32"/>
          <w:lang w:val="en-US" w:eastAsia="zh-CN"/>
        </w:rPr>
        <w:t>5.4调查评估</w:t>
      </w:r>
      <w:bookmarkEnd w:id="41"/>
    </w:p>
    <w:p w14:paraId="3C4C445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特别重大、重大危险化学品生产安全事故，按照国家有关规定由国务院、省人民政府组成调查组进行调查。</w:t>
      </w:r>
    </w:p>
    <w:p w14:paraId="7B8DC109">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较大危险化学品生产安全事故，由市人民政府组成调查组进行调查。</w:t>
      </w:r>
    </w:p>
    <w:p w14:paraId="5E760540">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一般危险化学品生产安全事故，由区人民政府组成调查组进行调查。</w:t>
      </w:r>
    </w:p>
    <w:p w14:paraId="1E9F2C2A">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hAnsi="仿宋_GB2312" w:eastAsia="仿宋_GB2312" w:cs="仿宋_GB2312"/>
          <w:b w:val="0"/>
          <w:bCs w:val="0"/>
          <w:color w:val="000000"/>
          <w:kern w:val="0"/>
          <w:sz w:val="32"/>
          <w:szCs w:val="32"/>
          <w:lang w:val="en-US" w:eastAsia="zh-CN"/>
        </w:rPr>
      </w:pPr>
      <w:r>
        <w:rPr>
          <w:rFonts w:hint="eastAsia" w:ascii="仿宋_GB2312" w:hAnsi="仿宋_GB2312" w:eastAsia="仿宋_GB2312" w:cs="仿宋_GB2312"/>
          <w:b w:val="0"/>
          <w:bCs w:val="0"/>
          <w:color w:val="000000"/>
          <w:kern w:val="0"/>
          <w:sz w:val="32"/>
          <w:szCs w:val="32"/>
          <w:lang w:val="en-US" w:eastAsia="zh-CN"/>
        </w:rPr>
        <w:t>危险化学品事故处置工作结束后，区应急指挥部会同事发地镇政府（街道办、经开区管委会）及有关部门分析总结应急救援经验教训，提出改进应急救援工作的建议，编制应急救援总结报告，报送区应急</w:t>
      </w:r>
      <w:r>
        <w:rPr>
          <w:rFonts w:hint="eastAsia" w:ascii="仿宋_GB2312" w:hAnsi="仿宋_GB2312" w:cs="仿宋_GB2312"/>
          <w:b w:val="0"/>
          <w:bCs w:val="0"/>
          <w:color w:val="000000"/>
          <w:kern w:val="0"/>
          <w:sz w:val="32"/>
          <w:szCs w:val="32"/>
          <w:lang w:val="en-US" w:eastAsia="zh-CN"/>
        </w:rPr>
        <w:t>局</w:t>
      </w:r>
      <w:r>
        <w:rPr>
          <w:rFonts w:hint="eastAsia" w:ascii="仿宋_GB2312" w:hAnsi="仿宋_GB2312" w:eastAsia="仿宋_GB2312" w:cs="仿宋_GB2312"/>
          <w:b w:val="0"/>
          <w:bCs w:val="0"/>
          <w:color w:val="000000"/>
          <w:kern w:val="0"/>
          <w:sz w:val="32"/>
          <w:szCs w:val="32"/>
          <w:lang w:val="en-US" w:eastAsia="zh-CN"/>
        </w:rPr>
        <w:t>。根据现场指挥部提交的应急救援总结报告，区应急指挥部组织分析、研究，提出改进应急救援工作的意见，并抄送有关单位。</w:t>
      </w:r>
    </w:p>
    <w:p w14:paraId="06E6C2BA">
      <w:pPr>
        <w:pStyle w:val="8"/>
        <w:keepNext w:val="0"/>
        <w:keepLines w:val="0"/>
        <w:pageBreakBefore w:val="0"/>
        <w:kinsoku/>
        <w:wordWrap/>
        <w:overflowPunct/>
        <w:topLinePunct w:val="0"/>
        <w:autoSpaceDE/>
        <w:autoSpaceDN/>
        <w:bidi w:val="0"/>
        <w:adjustRightInd/>
        <w:snapToGrid/>
        <w:spacing w:line="560" w:lineRule="exact"/>
        <w:ind w:firstLine="622" w:firstLineChars="200"/>
        <w:jc w:val="both"/>
        <w:textAlignment w:val="auto"/>
        <w:rPr>
          <w:rFonts w:hint="eastAsia"/>
          <w:b/>
          <w:bCs w:val="0"/>
          <w:sz w:val="32"/>
          <w:lang w:val="en-US" w:eastAsia="zh-CN"/>
        </w:rPr>
      </w:pPr>
      <w:bookmarkStart w:id="42" w:name="_Toc13144"/>
      <w:r>
        <w:rPr>
          <w:rFonts w:hint="eastAsia"/>
          <w:b/>
          <w:bCs w:val="0"/>
          <w:sz w:val="32"/>
          <w:lang w:val="en-US" w:eastAsia="zh-CN"/>
        </w:rPr>
        <w:t>5.5恢复与重建</w:t>
      </w:r>
      <w:bookmarkEnd w:id="42"/>
    </w:p>
    <w:p w14:paraId="141097A4">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危险化学品事故处置工作结束后，受到影响的镇政府（街道办、经开区管委会）应结合调查评估情况，立即组织制定恢复与重建计划，及时恢复社会秩序，修复被破坏的城市运行、生产经营等基础设施。</w:t>
      </w:r>
    </w:p>
    <w:p w14:paraId="72E1BB55">
      <w:pPr>
        <w:pStyle w:val="11"/>
        <w:keepNext w:val="0"/>
        <w:keepLines w:val="0"/>
        <w:pageBreakBefore w:val="0"/>
        <w:kinsoku/>
        <w:wordWrap/>
        <w:overflowPunct/>
        <w:topLinePunct w:val="0"/>
        <w:autoSpaceDE/>
        <w:autoSpaceDN/>
        <w:bidi w:val="0"/>
        <w:adjustRightInd/>
        <w:snapToGrid/>
        <w:spacing w:line="560" w:lineRule="exact"/>
        <w:ind w:firstLine="622" w:firstLineChars="200"/>
        <w:jc w:val="both"/>
        <w:textAlignment w:val="auto"/>
        <w:rPr>
          <w:sz w:val="32"/>
        </w:rPr>
      </w:pPr>
      <w:bookmarkStart w:id="43" w:name="_Toc4328"/>
      <w:r>
        <w:rPr>
          <w:rFonts w:hint="eastAsia"/>
          <w:sz w:val="32"/>
        </w:rPr>
        <w:t>六、应急保障</w:t>
      </w:r>
      <w:bookmarkEnd w:id="43"/>
    </w:p>
    <w:p w14:paraId="19518ABC">
      <w:pPr>
        <w:pStyle w:val="8"/>
        <w:keepNext w:val="0"/>
        <w:keepLines w:val="0"/>
        <w:pageBreakBefore w:val="0"/>
        <w:kinsoku/>
        <w:wordWrap/>
        <w:overflowPunct/>
        <w:topLinePunct w:val="0"/>
        <w:autoSpaceDE/>
        <w:autoSpaceDN/>
        <w:bidi w:val="0"/>
        <w:adjustRightInd/>
        <w:snapToGrid/>
        <w:spacing w:line="560" w:lineRule="exact"/>
        <w:ind w:firstLine="622" w:firstLineChars="200"/>
        <w:jc w:val="both"/>
        <w:textAlignment w:val="auto"/>
        <w:rPr>
          <w:rFonts w:hint="eastAsia"/>
          <w:b/>
          <w:bCs w:val="0"/>
          <w:sz w:val="32"/>
          <w:lang w:val="en-US" w:eastAsia="zh-CN"/>
        </w:rPr>
      </w:pPr>
      <w:bookmarkStart w:id="44" w:name="_Toc24415"/>
      <w:r>
        <w:rPr>
          <w:rFonts w:hint="eastAsia"/>
          <w:b/>
          <w:bCs w:val="0"/>
          <w:sz w:val="32"/>
          <w:lang w:val="en-US" w:eastAsia="zh-CN"/>
        </w:rPr>
        <w:t>6.1指挥系统保障</w:t>
      </w:r>
      <w:bookmarkEnd w:id="44"/>
    </w:p>
    <w:p w14:paraId="22E7AB55">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建立和完善危险化学品事故应急指挥技术支撑体系，以满足各种复杂情况下处置危险化学品事故的指挥要求。主要包括：有线通信、无线指挥调度、图像监控、信息报告、基于地理信息的分析决策支撑、视频会议和信息发布等。指挥系统可以和其他指挥系统合并使用。</w:t>
      </w:r>
    </w:p>
    <w:p w14:paraId="3C13B23D">
      <w:pPr>
        <w:pStyle w:val="8"/>
        <w:keepNext w:val="0"/>
        <w:keepLines w:val="0"/>
        <w:pageBreakBefore w:val="0"/>
        <w:kinsoku/>
        <w:wordWrap/>
        <w:overflowPunct/>
        <w:topLinePunct w:val="0"/>
        <w:autoSpaceDE/>
        <w:autoSpaceDN/>
        <w:bidi w:val="0"/>
        <w:adjustRightInd/>
        <w:snapToGrid/>
        <w:spacing w:line="560" w:lineRule="exact"/>
        <w:ind w:firstLine="622" w:firstLineChars="200"/>
        <w:jc w:val="both"/>
        <w:textAlignment w:val="auto"/>
        <w:rPr>
          <w:rFonts w:hint="eastAsia"/>
          <w:b/>
          <w:bCs w:val="0"/>
          <w:sz w:val="32"/>
          <w:lang w:val="en-US" w:eastAsia="zh-CN"/>
        </w:rPr>
      </w:pPr>
      <w:bookmarkStart w:id="45" w:name="_Toc22837"/>
      <w:r>
        <w:rPr>
          <w:rFonts w:hint="eastAsia"/>
          <w:b/>
          <w:bCs w:val="0"/>
          <w:sz w:val="32"/>
          <w:lang w:val="en-US" w:eastAsia="zh-CN"/>
        </w:rPr>
        <w:t>6.2人力资源保障</w:t>
      </w:r>
      <w:bookmarkEnd w:id="45"/>
    </w:p>
    <w:p w14:paraId="6A19F93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以现役消防队伍为综合应急救援队伍，承担综合应急救援任务；以公安、环保、医疗及相关专业应急救援队为专业队伍主体，其他相关事故处置单位为辅助。</w:t>
      </w:r>
    </w:p>
    <w:p w14:paraId="2CC4E283">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充分发动企事业单位、公益团体及有一定专业技能的志愿者等社会力量，必要时协助实施应急处置工作。</w:t>
      </w:r>
    </w:p>
    <w:p w14:paraId="2066CD5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28"/>
          <w:szCs w:val="28"/>
          <w:lang w:val="en-US" w:eastAsia="zh-CN"/>
        </w:rPr>
      </w:pPr>
      <w:r>
        <w:rPr>
          <w:rFonts w:hint="eastAsia" w:ascii="仿宋_GB2312" w:cs="Times New Roman"/>
          <w:b w:val="0"/>
          <w:bCs w:val="0"/>
          <w:color w:val="000000"/>
          <w:kern w:val="0"/>
          <w:sz w:val="32"/>
          <w:szCs w:val="32"/>
          <w:lang w:val="en-US" w:eastAsia="zh-CN"/>
        </w:rPr>
        <w:t>区应急指挥部办公室负责建立专家数据库，并及时更新有关内容，确保需要时能及时找到相应的专家为应急救援提供技术支持和保障。</w:t>
      </w:r>
    </w:p>
    <w:p w14:paraId="50ADFCDB">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46" w:name="_Toc11250"/>
      <w:r>
        <w:rPr>
          <w:rFonts w:hint="eastAsia"/>
          <w:b/>
          <w:bCs w:val="0"/>
          <w:sz w:val="32"/>
          <w:lang w:val="en-US" w:eastAsia="zh-CN"/>
        </w:rPr>
        <w:t>6.3经费保障</w:t>
      </w:r>
      <w:bookmarkEnd w:id="46"/>
    </w:p>
    <w:p w14:paraId="39CB5AD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发生危险化学品事故后，根据实际情况安排经费应对突发事件，所需资金由区财政局按规定程序报区政府审定后，从年度预算安排的预备费中的应急专项经费列支。区财政局和镇政府（街道办、经开区管委会）财政部门负责应急专项经费的管理。财政部门要对危险化学品事故财政应急资金的使用和效果进行监督和评估。</w:t>
      </w:r>
    </w:p>
    <w:p w14:paraId="1447CF1F">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47" w:name="_Toc25390"/>
      <w:r>
        <w:rPr>
          <w:rFonts w:hint="eastAsia"/>
          <w:b/>
          <w:bCs w:val="0"/>
          <w:sz w:val="32"/>
          <w:lang w:val="en-US" w:eastAsia="zh-CN"/>
        </w:rPr>
        <w:t>6.4物资保障</w:t>
      </w:r>
      <w:bookmarkEnd w:id="47"/>
    </w:p>
    <w:p w14:paraId="5111FC77">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区应急指挥部、镇政府（街道办、经开区管委会）及有关部门分区域、分部门合理储备危险化学品事故应急救援物资。</w:t>
      </w:r>
    </w:p>
    <w:p w14:paraId="527AE802">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必要时，区应急指挥部可以以区政府名义向企事业单位和个人征用应急处置与救援所需设备、场地和其他物资，或要求相关企业组织生产、供应应急救援物资。</w:t>
      </w:r>
    </w:p>
    <w:p w14:paraId="7BC6A1D6">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应急物资的使用按照“各级储备、应急共享、自救互救、政府补助”的原则，建立应急物资共享平台。事故状态下有关各方有义务为事故应急救援提供自身储备的应急物资，事后进行原物或经济回补。</w:t>
      </w:r>
    </w:p>
    <w:p w14:paraId="2F5D822B">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48" w:name="_Toc7819"/>
      <w:r>
        <w:rPr>
          <w:rFonts w:hint="eastAsia"/>
          <w:b/>
          <w:bCs w:val="0"/>
          <w:sz w:val="32"/>
          <w:lang w:val="en-US" w:eastAsia="zh-CN"/>
        </w:rPr>
        <w:t>6.5医疗卫生保障</w:t>
      </w:r>
      <w:bookmarkEnd w:id="48"/>
    </w:p>
    <w:p w14:paraId="69F10B48">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区卫健委建立和完善全区卫生应急预案体系、卫生应急指挥体系和医疗卫生救援体系，针对危险化学品事故可能造成的健康危害，组建医疗专家队伍和应急医疗救援队伍，组织储备医疗救治应急物资，开展医疗救援演练和公众自救、互救医疗常识宣传教育。</w:t>
      </w:r>
    </w:p>
    <w:p w14:paraId="2C7725A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危险化学品生产经营单位应针对本单位可能发生事故的类别，加强员工自救、互救知识和技能培训，最大限度降低事故造成的人员伤害和健康危害。</w:t>
      </w:r>
    </w:p>
    <w:p w14:paraId="1FC52DDE">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49" w:name="_Toc15090"/>
      <w:r>
        <w:rPr>
          <w:rFonts w:hint="eastAsia"/>
          <w:b/>
          <w:bCs w:val="0"/>
          <w:sz w:val="32"/>
          <w:lang w:val="en-US" w:eastAsia="zh-CN"/>
        </w:rPr>
        <w:t>6.6交通运输保障</w:t>
      </w:r>
      <w:bookmarkEnd w:id="49"/>
    </w:p>
    <w:p w14:paraId="5ADE45C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烈山道路运输管理服务中心负责制定各类交通运输工具的调用方案，做好应急状态下的人员疏运、物资运输等交通运输保障工作。</w:t>
      </w:r>
    </w:p>
    <w:p w14:paraId="15B8CBDA">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市交警四大队组织对事故现场进行交通管制，开设应急救援“绿色通道”。</w:t>
      </w:r>
    </w:p>
    <w:p w14:paraId="1C1DD6A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如有道路设施受损，有关部门要迅速组织有关专业队伍进行抢修，尽快恢复良好状态；必要时，可紧急动员和征用其他部门及社会交通设施装备。</w:t>
      </w:r>
    </w:p>
    <w:p w14:paraId="17666A70">
      <w:pPr>
        <w:pStyle w:val="8"/>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b/>
          <w:bCs w:val="0"/>
          <w:sz w:val="32"/>
          <w:lang w:val="en-US" w:eastAsia="zh-CN"/>
        </w:rPr>
      </w:pPr>
      <w:bookmarkStart w:id="50" w:name="_Toc25909"/>
      <w:r>
        <w:rPr>
          <w:rFonts w:hint="eastAsia"/>
          <w:b/>
          <w:bCs w:val="0"/>
          <w:sz w:val="32"/>
          <w:lang w:val="en-US" w:eastAsia="zh-CN"/>
        </w:rPr>
        <w:t>6.7其他应急保障</w:t>
      </w:r>
      <w:bookmarkEnd w:id="50"/>
    </w:p>
    <w:p w14:paraId="1E3F7E2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危险化学品事故应急救援所需的其他保障，如治安、电力、环保、避难场所、气象等由区有关部门按照《烈山区突发事件总体应急预案》确定的职责，依据各部门的预案进行保障。</w:t>
      </w:r>
    </w:p>
    <w:p w14:paraId="6B58B428">
      <w:pPr>
        <w:pStyle w:val="11"/>
        <w:keepNext w:val="0"/>
        <w:keepLines w:val="0"/>
        <w:pageBreakBefore w:val="0"/>
        <w:kinsoku/>
        <w:wordWrap/>
        <w:overflowPunct/>
        <w:topLinePunct w:val="0"/>
        <w:autoSpaceDE/>
        <w:autoSpaceDN/>
        <w:bidi w:val="0"/>
        <w:adjustRightInd/>
        <w:snapToGrid/>
        <w:spacing w:line="520" w:lineRule="exact"/>
        <w:ind w:firstLine="622" w:firstLineChars="200"/>
        <w:jc w:val="both"/>
        <w:textAlignment w:val="auto"/>
        <w:rPr>
          <w:rFonts w:hint="eastAsia"/>
          <w:sz w:val="32"/>
          <w:lang w:val="en-US" w:eastAsia="zh-CN"/>
        </w:rPr>
      </w:pPr>
      <w:bookmarkStart w:id="51" w:name="_Toc26426"/>
      <w:r>
        <w:rPr>
          <w:rFonts w:hint="eastAsia"/>
          <w:sz w:val="32"/>
          <w:lang w:val="en-US" w:eastAsia="zh-CN"/>
        </w:rPr>
        <w:t>七、附则</w:t>
      </w:r>
      <w:bookmarkEnd w:id="51"/>
    </w:p>
    <w:p w14:paraId="754FEF3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本预案由区应急管理局负责解释，每年进行一次演练，及时评估、修订。</w:t>
      </w:r>
    </w:p>
    <w:p w14:paraId="0BF1C74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sectPr>
          <w:footerReference r:id="rId4" w:type="first"/>
          <w:footerReference r:id="rId3" w:type="default"/>
          <w:pgSz w:w="11906" w:h="16838"/>
          <w:pgMar w:top="2098" w:right="1474" w:bottom="1814" w:left="1587" w:header="851" w:footer="1304" w:gutter="0"/>
          <w:pgBorders>
            <w:top w:val="none" w:sz="0" w:space="0"/>
            <w:left w:val="none" w:sz="0" w:space="0"/>
            <w:bottom w:val="none" w:sz="0" w:space="0"/>
            <w:right w:val="none" w:sz="0" w:space="0"/>
          </w:pgBorders>
          <w:pgNumType w:fmt="decimal" w:start="1"/>
          <w:cols w:space="720" w:num="1"/>
          <w:titlePg/>
          <w:docGrid w:type="linesAndChars" w:linePitch="584" w:charSpace="-1844"/>
        </w:sectPr>
      </w:pPr>
      <w:r>
        <w:rPr>
          <w:rFonts w:hint="eastAsia" w:ascii="仿宋_GB2312" w:cs="Times New Roman"/>
          <w:b w:val="0"/>
          <w:bCs w:val="0"/>
          <w:color w:val="000000"/>
          <w:kern w:val="0"/>
          <w:sz w:val="32"/>
          <w:szCs w:val="32"/>
          <w:lang w:val="en-US" w:eastAsia="zh-CN"/>
        </w:rPr>
        <w:t>本预案自发布之日起施行。原《烈山区危险化学品事故应急救援预案》（烈山区安全生产监督管理局，2017年版）同时废止。</w:t>
      </w:r>
    </w:p>
    <w:p w14:paraId="3614473A">
      <w:pPr>
        <w:pStyle w:val="11"/>
        <w:keepNext w:val="0"/>
        <w:keepLines w:val="0"/>
        <w:pageBreakBefore w:val="0"/>
        <w:numPr>
          <w:ilvl w:val="0"/>
          <w:numId w:val="1"/>
        </w:numPr>
        <w:kinsoku/>
        <w:overflowPunct/>
        <w:topLinePunct w:val="0"/>
        <w:autoSpaceDE/>
        <w:autoSpaceDN/>
        <w:bidi w:val="0"/>
        <w:adjustRightInd/>
        <w:snapToGrid/>
        <w:spacing w:line="520" w:lineRule="exact"/>
        <w:ind w:firstLine="622" w:firstLineChars="200"/>
        <w:jc w:val="both"/>
        <w:textAlignment w:val="auto"/>
        <w:rPr>
          <w:rFonts w:hint="eastAsia"/>
          <w:sz w:val="32"/>
          <w:lang w:val="en-US" w:eastAsia="zh-CN"/>
        </w:rPr>
      </w:pPr>
      <w:bookmarkStart w:id="52" w:name="_Toc8496"/>
      <w:r>
        <w:rPr>
          <w:rFonts w:hint="eastAsia"/>
          <w:sz w:val="32"/>
          <w:lang w:val="en-US" w:eastAsia="zh-CN"/>
        </w:rPr>
        <w:t>附件</w:t>
      </w:r>
      <w:bookmarkEnd w:id="52"/>
    </w:p>
    <w:p w14:paraId="2A129377">
      <w:pPr>
        <w:pStyle w:val="11"/>
        <w:keepNext w:val="0"/>
        <w:keepLines w:val="0"/>
        <w:pageBreakBefore w:val="0"/>
        <w:numPr>
          <w:ilvl w:val="0"/>
          <w:numId w:val="0"/>
        </w:numPr>
        <w:kinsoku/>
        <w:overflowPunct/>
        <w:topLinePunct w:val="0"/>
        <w:autoSpaceDE/>
        <w:autoSpaceDN/>
        <w:bidi w:val="0"/>
        <w:adjustRightInd/>
        <w:snapToGrid/>
        <w:spacing w:line="520" w:lineRule="exact"/>
        <w:jc w:val="center"/>
        <w:textAlignment w:val="auto"/>
        <w:outlineLvl w:val="9"/>
        <w:rPr>
          <w:rFonts w:hint="default"/>
          <w:lang w:val="en-US" w:eastAsia="zh-CN"/>
        </w:rPr>
      </w:pPr>
      <w:r>
        <w:rPr>
          <w:rFonts w:hint="eastAsia" w:ascii="楷体" w:hAnsi="楷体" w:eastAsia="楷体" w:cs="楷体"/>
          <w:b/>
          <w:bCs/>
          <w:spacing w:val="8"/>
          <w:kern w:val="2"/>
          <w:sz w:val="32"/>
          <w:szCs w:val="32"/>
          <w:lang w:val="en-US" w:eastAsia="zh-CN" w:bidi="ar-SA"/>
        </w:rPr>
        <w:t>附件1</w:t>
      </w:r>
      <w:r>
        <w:rPr>
          <w:rFonts w:hint="eastAsia" w:ascii="楷体" w:hAnsi="楷体" w:eastAsia="楷体" w:cs="楷体"/>
          <w:b/>
          <w:bCs/>
          <w:color w:val="000000"/>
          <w:kern w:val="0"/>
          <w:sz w:val="32"/>
          <w:szCs w:val="32"/>
          <w:lang w:val="en-US" w:eastAsia="zh-CN" w:bidi="ar"/>
        </w:rPr>
        <w:t>编制依据</w:t>
      </w:r>
    </w:p>
    <w:p w14:paraId="248AFA6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1.《中华人民共和国安全生产法》</w:t>
      </w:r>
    </w:p>
    <w:p w14:paraId="725BBB4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2.《中华人民共和国突发事件应对法》</w:t>
      </w:r>
    </w:p>
    <w:p w14:paraId="7257DDC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3.《生产安全事故报告和调查处理条例》（国务院令第493号）</w:t>
      </w:r>
    </w:p>
    <w:p w14:paraId="4D6FAD3E">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4.《生产安全事故应急条例》（国务院令第</w:t>
      </w:r>
      <w:r>
        <w:rPr>
          <w:rFonts w:hint="default" w:ascii="仿宋_GB2312" w:cs="Times New Roman"/>
          <w:b w:val="0"/>
          <w:bCs w:val="0"/>
          <w:color w:val="000000"/>
          <w:kern w:val="0"/>
          <w:sz w:val="32"/>
          <w:szCs w:val="32"/>
          <w:lang w:val="en-US" w:eastAsia="zh-CN"/>
        </w:rPr>
        <w:t>708</w:t>
      </w:r>
      <w:r>
        <w:rPr>
          <w:rFonts w:hint="eastAsia" w:ascii="仿宋_GB2312" w:cs="Times New Roman"/>
          <w:b w:val="0"/>
          <w:bCs w:val="0"/>
          <w:color w:val="000000"/>
          <w:kern w:val="0"/>
          <w:sz w:val="32"/>
          <w:szCs w:val="32"/>
          <w:lang w:val="en-US" w:eastAsia="zh-CN"/>
        </w:rPr>
        <w:t>号）</w:t>
      </w:r>
    </w:p>
    <w:p w14:paraId="2E577EA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5.《危险化学品安全管理条例》（国务院令第</w:t>
      </w:r>
      <w:r>
        <w:rPr>
          <w:rFonts w:hint="default" w:ascii="仿宋_GB2312" w:cs="Times New Roman"/>
          <w:b w:val="0"/>
          <w:bCs w:val="0"/>
          <w:color w:val="000000"/>
          <w:kern w:val="0"/>
          <w:sz w:val="32"/>
          <w:szCs w:val="32"/>
          <w:lang w:val="en-US" w:eastAsia="zh-CN"/>
        </w:rPr>
        <w:t>645</w:t>
      </w:r>
      <w:r>
        <w:rPr>
          <w:rFonts w:hint="eastAsia" w:ascii="仿宋_GB2312" w:cs="Times New Roman"/>
          <w:b w:val="0"/>
          <w:bCs w:val="0"/>
          <w:color w:val="000000"/>
          <w:kern w:val="0"/>
          <w:sz w:val="32"/>
          <w:szCs w:val="32"/>
          <w:lang w:val="en-US" w:eastAsia="zh-CN"/>
        </w:rPr>
        <w:t>号）</w:t>
      </w:r>
    </w:p>
    <w:p w14:paraId="7513100B">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6.《突发事件应急预案管理办法》（国办发〔</w:t>
      </w:r>
      <w:r>
        <w:rPr>
          <w:rFonts w:hint="default" w:ascii="仿宋_GB2312" w:cs="Times New Roman"/>
          <w:b w:val="0"/>
          <w:bCs w:val="0"/>
          <w:color w:val="000000"/>
          <w:kern w:val="0"/>
          <w:sz w:val="32"/>
          <w:szCs w:val="32"/>
          <w:lang w:val="en-US" w:eastAsia="zh-CN"/>
        </w:rPr>
        <w:t>2013</w:t>
      </w:r>
      <w:r>
        <w:rPr>
          <w:rFonts w:hint="eastAsia" w:ascii="仿宋_GB2312" w:cs="Times New Roman"/>
          <w:b w:val="0"/>
          <w:bCs w:val="0"/>
          <w:color w:val="000000"/>
          <w:kern w:val="0"/>
          <w:sz w:val="32"/>
          <w:szCs w:val="32"/>
          <w:lang w:val="en-US" w:eastAsia="zh-CN"/>
        </w:rPr>
        <w:t>〕</w:t>
      </w:r>
      <w:r>
        <w:rPr>
          <w:rFonts w:hint="default" w:ascii="仿宋_GB2312" w:cs="Times New Roman"/>
          <w:b w:val="0"/>
          <w:bCs w:val="0"/>
          <w:color w:val="000000"/>
          <w:kern w:val="0"/>
          <w:sz w:val="32"/>
          <w:szCs w:val="32"/>
          <w:lang w:val="en-US" w:eastAsia="zh-CN"/>
        </w:rPr>
        <w:t>101</w:t>
      </w:r>
      <w:r>
        <w:rPr>
          <w:rFonts w:hint="eastAsia" w:ascii="仿宋_GB2312" w:cs="Times New Roman"/>
          <w:b w:val="0"/>
          <w:bCs w:val="0"/>
          <w:color w:val="000000"/>
          <w:kern w:val="0"/>
          <w:sz w:val="32"/>
          <w:szCs w:val="32"/>
          <w:lang w:val="en-US" w:eastAsia="zh-CN"/>
        </w:rPr>
        <w:t>号）</w:t>
      </w:r>
    </w:p>
    <w:p w14:paraId="03CC364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7.《生产安全事故应急预案管理办法》（原国家安全生产监督管理总局令第</w:t>
      </w:r>
      <w:r>
        <w:rPr>
          <w:rFonts w:hint="default" w:ascii="仿宋_GB2312" w:cs="Times New Roman"/>
          <w:b w:val="0"/>
          <w:bCs w:val="0"/>
          <w:color w:val="000000"/>
          <w:kern w:val="0"/>
          <w:sz w:val="32"/>
          <w:szCs w:val="32"/>
          <w:lang w:val="en-US" w:eastAsia="zh-CN"/>
        </w:rPr>
        <w:t>88</w:t>
      </w:r>
      <w:r>
        <w:rPr>
          <w:rFonts w:hint="eastAsia" w:ascii="仿宋_GB2312" w:cs="Times New Roman"/>
          <w:b w:val="0"/>
          <w:bCs w:val="0"/>
          <w:color w:val="000000"/>
          <w:kern w:val="0"/>
          <w:sz w:val="32"/>
          <w:szCs w:val="32"/>
          <w:lang w:val="en-US" w:eastAsia="zh-CN"/>
        </w:rPr>
        <w:t>号公布，根据</w:t>
      </w:r>
      <w:r>
        <w:rPr>
          <w:rFonts w:hint="default" w:ascii="仿宋_GB2312" w:cs="Times New Roman"/>
          <w:b w:val="0"/>
          <w:bCs w:val="0"/>
          <w:color w:val="000000"/>
          <w:kern w:val="0"/>
          <w:sz w:val="32"/>
          <w:szCs w:val="32"/>
          <w:lang w:val="en-US" w:eastAsia="zh-CN"/>
        </w:rPr>
        <w:t>2019</w:t>
      </w:r>
      <w:r>
        <w:rPr>
          <w:rFonts w:hint="eastAsia" w:ascii="仿宋_GB2312" w:cs="Times New Roman"/>
          <w:b w:val="0"/>
          <w:bCs w:val="0"/>
          <w:color w:val="000000"/>
          <w:kern w:val="0"/>
          <w:sz w:val="32"/>
          <w:szCs w:val="32"/>
          <w:lang w:val="en-US" w:eastAsia="zh-CN"/>
        </w:rPr>
        <w:t>年</w:t>
      </w:r>
      <w:r>
        <w:rPr>
          <w:rFonts w:hint="default" w:ascii="仿宋_GB2312" w:cs="Times New Roman"/>
          <w:b w:val="0"/>
          <w:bCs w:val="0"/>
          <w:color w:val="000000"/>
          <w:kern w:val="0"/>
          <w:sz w:val="32"/>
          <w:szCs w:val="32"/>
          <w:lang w:val="en-US" w:eastAsia="zh-CN"/>
        </w:rPr>
        <w:t>7</w:t>
      </w:r>
      <w:r>
        <w:rPr>
          <w:rFonts w:hint="eastAsia" w:ascii="仿宋_GB2312" w:cs="Times New Roman"/>
          <w:b w:val="0"/>
          <w:bCs w:val="0"/>
          <w:color w:val="000000"/>
          <w:kern w:val="0"/>
          <w:sz w:val="32"/>
          <w:szCs w:val="32"/>
          <w:lang w:val="en-US" w:eastAsia="zh-CN"/>
        </w:rPr>
        <w:t>月</w:t>
      </w:r>
      <w:r>
        <w:rPr>
          <w:rFonts w:hint="default" w:ascii="仿宋_GB2312" w:cs="Times New Roman"/>
          <w:b w:val="0"/>
          <w:bCs w:val="0"/>
          <w:color w:val="000000"/>
          <w:kern w:val="0"/>
          <w:sz w:val="32"/>
          <w:szCs w:val="32"/>
          <w:lang w:val="en-US" w:eastAsia="zh-CN"/>
        </w:rPr>
        <w:t>11</w:t>
      </w:r>
      <w:r>
        <w:rPr>
          <w:rFonts w:hint="eastAsia" w:ascii="仿宋_GB2312" w:cs="Times New Roman"/>
          <w:b w:val="0"/>
          <w:bCs w:val="0"/>
          <w:color w:val="000000"/>
          <w:kern w:val="0"/>
          <w:sz w:val="32"/>
          <w:szCs w:val="32"/>
          <w:lang w:val="en-US" w:eastAsia="zh-CN"/>
        </w:rPr>
        <w:t>日应急管理部令第</w:t>
      </w:r>
      <w:r>
        <w:rPr>
          <w:rFonts w:hint="default" w:ascii="仿宋_GB2312" w:cs="Times New Roman"/>
          <w:b w:val="0"/>
          <w:bCs w:val="0"/>
          <w:color w:val="000000"/>
          <w:kern w:val="0"/>
          <w:sz w:val="32"/>
          <w:szCs w:val="32"/>
          <w:lang w:val="en-US" w:eastAsia="zh-CN"/>
        </w:rPr>
        <w:t>2</w:t>
      </w:r>
      <w:r>
        <w:rPr>
          <w:rFonts w:hint="eastAsia" w:ascii="仿宋_GB2312" w:cs="Times New Roman"/>
          <w:b w:val="0"/>
          <w:bCs w:val="0"/>
          <w:color w:val="000000"/>
          <w:kern w:val="0"/>
          <w:sz w:val="32"/>
          <w:szCs w:val="32"/>
          <w:lang w:val="en-US" w:eastAsia="zh-CN"/>
        </w:rPr>
        <w:t>号修正）</w:t>
      </w:r>
    </w:p>
    <w:p w14:paraId="0D8A0F08">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8.《安徽省安全生产条例》</w:t>
      </w:r>
    </w:p>
    <w:p w14:paraId="674BD6D1">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9.《安徽省突发事件应对条例》</w:t>
      </w:r>
    </w:p>
    <w:p w14:paraId="42AA8ED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10.《安徽省突发事件总体应急预案》（皖政秘〔2020〕147号）</w:t>
      </w:r>
    </w:p>
    <w:p w14:paraId="307E2D49">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11.《安徽省生产安全事故应急预案》</w:t>
      </w:r>
    </w:p>
    <w:p w14:paraId="01F21EE4">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12.《安徽省危险化学品生产安全事故应急预案》（皖应急〔2021〕80号）</w:t>
      </w:r>
    </w:p>
    <w:p w14:paraId="341866EF">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13.《危险化学品目录》（</w:t>
      </w:r>
      <w:r>
        <w:rPr>
          <w:rFonts w:hint="default" w:ascii="仿宋_GB2312" w:cs="Times New Roman"/>
          <w:b w:val="0"/>
          <w:bCs w:val="0"/>
          <w:color w:val="000000"/>
          <w:kern w:val="0"/>
          <w:sz w:val="32"/>
          <w:szCs w:val="32"/>
          <w:lang w:val="en-US" w:eastAsia="zh-CN"/>
        </w:rPr>
        <w:t>2015</w:t>
      </w:r>
      <w:r>
        <w:rPr>
          <w:rFonts w:hint="eastAsia" w:ascii="仿宋_GB2312" w:cs="Times New Roman"/>
          <w:b w:val="0"/>
          <w:bCs w:val="0"/>
          <w:color w:val="000000"/>
          <w:kern w:val="0"/>
          <w:sz w:val="32"/>
          <w:szCs w:val="32"/>
          <w:lang w:val="en-US" w:eastAsia="zh-CN"/>
        </w:rPr>
        <w:t>版）</w:t>
      </w:r>
    </w:p>
    <w:p w14:paraId="109AC27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14.《淮北市人民政府突发公共事件总体应急预案》</w:t>
      </w:r>
    </w:p>
    <w:p w14:paraId="4A85FE9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15.《淮北市危险化学品生产安全事故应急预案》</w:t>
      </w:r>
    </w:p>
    <w:p w14:paraId="32BDAFD5">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ascii="仿宋_GB2312" w:cs="Times New Roman"/>
          <w:b w:val="0"/>
          <w:bCs w:val="0"/>
          <w:color w:val="000000"/>
          <w:kern w:val="0"/>
          <w:sz w:val="32"/>
          <w:szCs w:val="32"/>
          <w:lang w:val="en-US" w:eastAsia="zh-CN"/>
        </w:rPr>
      </w:pPr>
      <w:r>
        <w:rPr>
          <w:rFonts w:hint="eastAsia" w:ascii="仿宋_GB2312" w:cs="Times New Roman"/>
          <w:b w:val="0"/>
          <w:bCs w:val="0"/>
          <w:color w:val="000000"/>
          <w:kern w:val="0"/>
          <w:sz w:val="32"/>
          <w:szCs w:val="32"/>
          <w:lang w:val="en-US" w:eastAsia="zh-CN"/>
        </w:rPr>
        <w:t>16.《烈山区人民政府突发公共事件总体应急预案》</w:t>
      </w:r>
    </w:p>
    <w:p w14:paraId="15E0BF1C">
      <w:pPr>
        <w:keepNext w:val="0"/>
        <w:keepLines w:val="0"/>
        <w:pageBreakBefore w:val="0"/>
        <w:widowControl/>
        <w:suppressLineNumbers w:val="0"/>
        <w:kinsoku/>
        <w:wordWrap/>
        <w:overflowPunct/>
        <w:topLinePunct w:val="0"/>
        <w:autoSpaceDE/>
        <w:autoSpaceDN/>
        <w:bidi w:val="0"/>
        <w:adjustRightInd/>
        <w:snapToGrid/>
        <w:spacing w:line="520" w:lineRule="exact"/>
        <w:ind w:firstLine="622" w:firstLineChars="200"/>
        <w:jc w:val="both"/>
        <w:textAlignment w:val="auto"/>
        <w:rPr>
          <w:rFonts w:hint="eastAsia"/>
          <w:lang w:val="en-US" w:eastAsia="zh-CN"/>
        </w:rPr>
      </w:pPr>
      <w:r>
        <w:rPr>
          <w:rFonts w:hint="eastAsia" w:ascii="仿宋_GB2312" w:cs="Times New Roman"/>
          <w:b w:val="0"/>
          <w:bCs w:val="0"/>
          <w:color w:val="000000"/>
          <w:kern w:val="0"/>
          <w:sz w:val="32"/>
          <w:szCs w:val="32"/>
          <w:lang w:val="en-US" w:eastAsia="zh-CN"/>
        </w:rPr>
        <w:t>17.《烟花爆竹安全管理条例》</w:t>
      </w:r>
      <w:r>
        <w:rPr>
          <w:rFonts w:hint="eastAsia"/>
          <w:lang w:val="en-US" w:eastAsia="zh-CN"/>
        </w:rPr>
        <w:br w:type="page"/>
      </w:r>
    </w:p>
    <w:p w14:paraId="74FEE78D">
      <w:pPr>
        <w:pStyle w:val="11"/>
        <w:keepNext w:val="0"/>
        <w:keepLines w:val="0"/>
        <w:pageBreakBefore w:val="0"/>
        <w:numPr>
          <w:ilvl w:val="0"/>
          <w:numId w:val="0"/>
        </w:numPr>
        <w:kinsoku/>
        <w:overflowPunct/>
        <w:topLinePunct w:val="0"/>
        <w:autoSpaceDE/>
        <w:autoSpaceDN/>
        <w:bidi w:val="0"/>
        <w:adjustRightInd/>
        <w:snapToGrid/>
        <w:spacing w:line="520" w:lineRule="exact"/>
        <w:jc w:val="center"/>
        <w:textAlignment w:val="auto"/>
        <w:outlineLvl w:val="9"/>
        <w:rPr>
          <w:rFonts w:hint="eastAsia" w:ascii="楷体" w:hAnsi="楷体" w:eastAsia="楷体" w:cs="楷体"/>
          <w:b/>
          <w:bCs/>
          <w:color w:val="000000"/>
          <w:kern w:val="0"/>
          <w:sz w:val="32"/>
          <w:szCs w:val="32"/>
          <w:lang w:val="en-US" w:eastAsia="zh-CN" w:bidi="ar"/>
        </w:rPr>
      </w:pPr>
      <w:r>
        <w:rPr>
          <w:rFonts w:hint="eastAsia" w:ascii="楷体" w:hAnsi="楷体" w:eastAsia="楷体" w:cs="楷体"/>
          <w:b/>
          <w:bCs/>
          <w:spacing w:val="8"/>
          <w:kern w:val="2"/>
          <w:sz w:val="32"/>
          <w:szCs w:val="32"/>
          <w:lang w:val="en-US" w:eastAsia="zh-CN" w:bidi="ar-SA"/>
        </w:rPr>
        <w:t>附件2</w:t>
      </w:r>
      <w:r>
        <w:rPr>
          <w:rFonts w:hint="eastAsia" w:ascii="楷体" w:hAnsi="楷体" w:eastAsia="楷体" w:cs="楷体"/>
          <w:b/>
          <w:bCs/>
          <w:color w:val="000000"/>
          <w:kern w:val="0"/>
          <w:sz w:val="32"/>
          <w:szCs w:val="32"/>
          <w:lang w:val="en-US" w:eastAsia="zh-CN" w:bidi="ar"/>
        </w:rPr>
        <w:t>烈山区危险化学品生产安全事故应急指挥部成员</w:t>
      </w:r>
    </w:p>
    <w:tbl>
      <w:tblPr>
        <w:tblStyle w:val="13"/>
        <w:tblW w:w="6853"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3485"/>
        <w:gridCol w:w="1110"/>
        <w:gridCol w:w="1720"/>
      </w:tblGrid>
      <w:tr w14:paraId="1233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7D5BAD3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黑体" w:hAnsi="黑体" w:eastAsia="黑体" w:cs="宋体"/>
                <w:color w:val="000000"/>
                <w:kern w:val="0"/>
                <w:sz w:val="24"/>
                <w:szCs w:val="24"/>
              </w:rPr>
            </w:pPr>
            <w:r>
              <w:rPr>
                <w:rFonts w:hint="eastAsia" w:ascii="黑体" w:hAnsi="黑体" w:eastAsia="黑体" w:cs="宋体"/>
                <w:color w:val="000000"/>
                <w:kern w:val="0"/>
                <w:sz w:val="24"/>
                <w:szCs w:val="24"/>
              </w:rPr>
              <w:t>序号</w:t>
            </w:r>
          </w:p>
        </w:tc>
        <w:tc>
          <w:tcPr>
            <w:tcW w:w="3485" w:type="dxa"/>
            <w:tcBorders>
              <w:tl2br w:val="nil"/>
              <w:tr2bl w:val="nil"/>
            </w:tcBorders>
            <w:noWrap w:val="0"/>
            <w:vAlign w:val="center"/>
          </w:tcPr>
          <w:p w14:paraId="3444E4A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单位名称</w:t>
            </w:r>
          </w:p>
        </w:tc>
        <w:tc>
          <w:tcPr>
            <w:tcW w:w="1110" w:type="dxa"/>
            <w:tcBorders>
              <w:tl2br w:val="nil"/>
              <w:tr2bl w:val="nil"/>
            </w:tcBorders>
            <w:noWrap/>
            <w:vAlign w:val="center"/>
          </w:tcPr>
          <w:p w14:paraId="573C9FE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负责人</w:t>
            </w:r>
          </w:p>
        </w:tc>
        <w:tc>
          <w:tcPr>
            <w:tcW w:w="1720" w:type="dxa"/>
            <w:tcBorders>
              <w:tl2br w:val="nil"/>
              <w:tr2bl w:val="nil"/>
            </w:tcBorders>
            <w:noWrap w:val="0"/>
            <w:vAlign w:val="center"/>
          </w:tcPr>
          <w:p w14:paraId="60FD1310">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职务</w:t>
            </w:r>
          </w:p>
        </w:tc>
      </w:tr>
      <w:tr w14:paraId="7F7F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4FB334E9">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w:t>
            </w:r>
          </w:p>
        </w:tc>
        <w:tc>
          <w:tcPr>
            <w:tcW w:w="3485" w:type="dxa"/>
            <w:tcBorders>
              <w:tl2br w:val="nil"/>
              <w:tr2bl w:val="nil"/>
            </w:tcBorders>
            <w:shd w:val="clear" w:color="auto" w:fill="auto"/>
            <w:noWrap w:val="0"/>
            <w:vAlign w:val="center"/>
          </w:tcPr>
          <w:p w14:paraId="1B8E9238">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val="en-US" w:eastAsia="zh-CN" w:bidi="ar-SA"/>
              </w:rPr>
              <w:t>区委宣传部</w:t>
            </w:r>
          </w:p>
        </w:tc>
        <w:tc>
          <w:tcPr>
            <w:tcW w:w="1110" w:type="dxa"/>
            <w:tcBorders>
              <w:tl2br w:val="nil"/>
              <w:tr2bl w:val="nil"/>
            </w:tcBorders>
            <w:shd w:val="clear" w:color="auto" w:fill="auto"/>
            <w:noWrap/>
            <w:vAlign w:val="center"/>
          </w:tcPr>
          <w:p w14:paraId="6003E899">
            <w:pPr>
              <w:widowControl/>
              <w:spacing w:line="320" w:lineRule="exact"/>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方惠</w:t>
            </w:r>
          </w:p>
        </w:tc>
        <w:tc>
          <w:tcPr>
            <w:tcW w:w="1720" w:type="dxa"/>
            <w:tcBorders>
              <w:tl2br w:val="nil"/>
              <w:tr2bl w:val="nil"/>
            </w:tcBorders>
            <w:shd w:val="clear" w:color="auto" w:fill="auto"/>
            <w:noWrap w:val="0"/>
            <w:vAlign w:val="center"/>
          </w:tcPr>
          <w:p w14:paraId="32325786">
            <w:pPr>
              <w:widowControl/>
              <w:spacing w:line="320" w:lineRule="exact"/>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常务副部长</w:t>
            </w:r>
          </w:p>
        </w:tc>
      </w:tr>
      <w:tr w14:paraId="60A1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0B85E96C">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w:t>
            </w:r>
          </w:p>
        </w:tc>
        <w:tc>
          <w:tcPr>
            <w:tcW w:w="3485" w:type="dxa"/>
            <w:tcBorders>
              <w:tl2br w:val="nil"/>
              <w:tr2bl w:val="nil"/>
            </w:tcBorders>
            <w:shd w:val="clear" w:color="auto" w:fill="auto"/>
            <w:noWrap w:val="0"/>
            <w:vAlign w:val="center"/>
          </w:tcPr>
          <w:p w14:paraId="546671DC">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区人武部</w:t>
            </w:r>
          </w:p>
        </w:tc>
        <w:tc>
          <w:tcPr>
            <w:tcW w:w="1110" w:type="dxa"/>
            <w:tcBorders>
              <w:tl2br w:val="nil"/>
              <w:tr2bl w:val="nil"/>
            </w:tcBorders>
            <w:shd w:val="clear" w:color="auto" w:fill="auto"/>
            <w:noWrap/>
            <w:vAlign w:val="center"/>
          </w:tcPr>
          <w:p w14:paraId="1449687A">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u w:val="none" w:color="auto"/>
                <w:lang w:val="en-US" w:eastAsia="zh-CN" w:bidi="ar-SA"/>
              </w:rPr>
              <w:t>付海鹏</w:t>
            </w:r>
            <w:r>
              <w:rPr>
                <w:rFonts w:hint="eastAsia" w:ascii="仿宋_GB2312" w:hAnsi="仿宋_GB2312" w:eastAsia="仿宋_GB2312" w:cs="仿宋_GB2312"/>
                <w:color w:val="000000"/>
                <w:kern w:val="0"/>
                <w:sz w:val="24"/>
                <w:szCs w:val="24"/>
              </w:rPr>
              <w:t>　</w:t>
            </w:r>
          </w:p>
        </w:tc>
        <w:tc>
          <w:tcPr>
            <w:tcW w:w="1720" w:type="dxa"/>
            <w:tcBorders>
              <w:tl2br w:val="nil"/>
              <w:tr2bl w:val="nil"/>
            </w:tcBorders>
            <w:shd w:val="clear" w:color="auto" w:fill="auto"/>
            <w:noWrap w:val="0"/>
            <w:vAlign w:val="center"/>
          </w:tcPr>
          <w:p w14:paraId="1664B788">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部长　</w:t>
            </w:r>
          </w:p>
        </w:tc>
      </w:tr>
      <w:tr w14:paraId="591E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7B5E0897">
            <w:pPr>
              <w:widowControl/>
              <w:jc w:val="center"/>
              <w:rPr>
                <w:rFonts w:hint="eastAsia" w:ascii="Times New Roman" w:hAnsi="Times New Roman" w:eastAsia="宋体" w:cs="Times New Roman"/>
                <w:color w:val="000000"/>
                <w:kern w:val="0"/>
                <w:sz w:val="24"/>
                <w:szCs w:val="24"/>
                <w:lang w:val="en-US" w:eastAsia="zh-CN"/>
              </w:rPr>
            </w:pPr>
            <w:r>
              <w:rPr>
                <w:rFonts w:hint="eastAsia" w:eastAsia="宋体" w:cs="Times New Roman"/>
                <w:color w:val="000000"/>
                <w:kern w:val="0"/>
                <w:sz w:val="24"/>
                <w:szCs w:val="24"/>
                <w:lang w:val="en-US" w:eastAsia="zh-CN"/>
              </w:rPr>
              <w:t>3</w:t>
            </w:r>
          </w:p>
        </w:tc>
        <w:tc>
          <w:tcPr>
            <w:tcW w:w="3485" w:type="dxa"/>
            <w:tcBorders>
              <w:tl2br w:val="nil"/>
              <w:tr2bl w:val="nil"/>
            </w:tcBorders>
            <w:shd w:val="clear" w:color="auto" w:fill="auto"/>
            <w:noWrap w:val="0"/>
            <w:vAlign w:val="center"/>
          </w:tcPr>
          <w:p w14:paraId="6459E38B">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区</w:t>
            </w:r>
            <w:r>
              <w:rPr>
                <w:rFonts w:hint="eastAsia" w:ascii="仿宋_GB2312" w:hAnsi="仿宋_GB2312" w:cs="仿宋_GB2312"/>
                <w:color w:val="000000"/>
                <w:kern w:val="0"/>
                <w:sz w:val="24"/>
                <w:szCs w:val="24"/>
                <w:lang w:val="en-US" w:eastAsia="zh-CN"/>
              </w:rPr>
              <w:t>住房和城乡建设</w:t>
            </w:r>
            <w:r>
              <w:rPr>
                <w:rFonts w:hint="eastAsia" w:ascii="仿宋_GB2312" w:hAnsi="仿宋_GB2312" w:eastAsia="仿宋_GB2312" w:cs="仿宋_GB2312"/>
                <w:color w:val="000000"/>
                <w:kern w:val="0"/>
                <w:sz w:val="24"/>
                <w:szCs w:val="24"/>
              </w:rPr>
              <w:t>局</w:t>
            </w:r>
          </w:p>
        </w:tc>
        <w:tc>
          <w:tcPr>
            <w:tcW w:w="1110" w:type="dxa"/>
            <w:tcBorders>
              <w:tl2br w:val="nil"/>
              <w:tr2bl w:val="nil"/>
            </w:tcBorders>
            <w:shd w:val="clear" w:color="auto" w:fill="auto"/>
            <w:noWrap/>
            <w:vAlign w:val="center"/>
          </w:tcPr>
          <w:p w14:paraId="6A8A4BC6">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u w:val="none" w:color="auto"/>
                <w:lang w:val="en-US" w:eastAsia="zh-CN" w:bidi="ar-SA"/>
              </w:rPr>
              <w:t>孙绪安</w:t>
            </w:r>
          </w:p>
        </w:tc>
        <w:tc>
          <w:tcPr>
            <w:tcW w:w="1720" w:type="dxa"/>
            <w:tcBorders>
              <w:tl2br w:val="nil"/>
              <w:tr2bl w:val="nil"/>
            </w:tcBorders>
            <w:shd w:val="clear" w:color="auto" w:fill="auto"/>
            <w:noWrap w:val="0"/>
            <w:vAlign w:val="center"/>
          </w:tcPr>
          <w:p w14:paraId="692F7B48">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lang w:val="en-US" w:eastAsia="zh-CN" w:bidi="ar-SA"/>
              </w:rPr>
              <w:t>局长</w:t>
            </w:r>
          </w:p>
        </w:tc>
      </w:tr>
      <w:tr w14:paraId="09FD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019A842C">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w:t>
            </w:r>
          </w:p>
        </w:tc>
        <w:tc>
          <w:tcPr>
            <w:tcW w:w="3485" w:type="dxa"/>
            <w:tcBorders>
              <w:tl2br w:val="nil"/>
              <w:tr2bl w:val="nil"/>
            </w:tcBorders>
            <w:shd w:val="clear" w:color="auto" w:fill="auto"/>
            <w:noWrap w:val="0"/>
            <w:vAlign w:val="center"/>
          </w:tcPr>
          <w:p w14:paraId="1DEEFFAC">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lang w:eastAsia="zh-CN"/>
              </w:rPr>
              <w:t>区科技工业信息化局</w:t>
            </w:r>
          </w:p>
        </w:tc>
        <w:tc>
          <w:tcPr>
            <w:tcW w:w="1110" w:type="dxa"/>
            <w:tcBorders>
              <w:tl2br w:val="nil"/>
              <w:tr2bl w:val="nil"/>
            </w:tcBorders>
            <w:shd w:val="clear" w:color="auto" w:fill="auto"/>
            <w:noWrap/>
            <w:vAlign w:val="center"/>
          </w:tcPr>
          <w:p w14:paraId="4D041FC0">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陆</w:t>
            </w:r>
            <w:r>
              <w:rPr>
                <w:rFonts w:hint="eastAsia" w:ascii="仿宋_GB2312" w:hAnsi="仿宋_GB2312" w:eastAsia="仿宋_GB2312" w:cs="仿宋_GB2312"/>
                <w:color w:val="000000"/>
                <w:kern w:val="0"/>
                <w:sz w:val="24"/>
                <w:szCs w:val="24"/>
                <w:u w:val="none" w:color="auto"/>
                <w:lang w:val="en-US" w:eastAsia="zh-CN" w:bidi="ar-SA"/>
              </w:rPr>
              <w:t>传岭</w:t>
            </w:r>
          </w:p>
        </w:tc>
        <w:tc>
          <w:tcPr>
            <w:tcW w:w="1720" w:type="dxa"/>
            <w:tcBorders>
              <w:tl2br w:val="nil"/>
              <w:tr2bl w:val="nil"/>
            </w:tcBorders>
            <w:shd w:val="clear" w:color="auto" w:fill="auto"/>
            <w:noWrap w:val="0"/>
            <w:vAlign w:val="center"/>
          </w:tcPr>
          <w:p w14:paraId="67A8C80A">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局长</w:t>
            </w:r>
          </w:p>
        </w:tc>
      </w:tr>
      <w:tr w14:paraId="03F6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0C485840">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w:t>
            </w:r>
          </w:p>
        </w:tc>
        <w:tc>
          <w:tcPr>
            <w:tcW w:w="3485" w:type="dxa"/>
            <w:tcBorders>
              <w:tl2br w:val="nil"/>
              <w:tr2bl w:val="nil"/>
            </w:tcBorders>
            <w:shd w:val="clear" w:color="auto" w:fill="auto"/>
            <w:noWrap w:val="0"/>
            <w:vAlign w:val="center"/>
          </w:tcPr>
          <w:p w14:paraId="1C3F12E2">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区民政局</w:t>
            </w:r>
          </w:p>
        </w:tc>
        <w:tc>
          <w:tcPr>
            <w:tcW w:w="1110" w:type="dxa"/>
            <w:tcBorders>
              <w:tl2br w:val="nil"/>
              <w:tr2bl w:val="nil"/>
            </w:tcBorders>
            <w:shd w:val="clear" w:color="auto" w:fill="auto"/>
            <w:noWrap/>
            <w:vAlign w:val="center"/>
          </w:tcPr>
          <w:p w14:paraId="2E50C24E">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lang w:val="en-US" w:eastAsia="zh-CN"/>
              </w:rPr>
              <w:t>侯路明</w:t>
            </w:r>
          </w:p>
        </w:tc>
        <w:tc>
          <w:tcPr>
            <w:tcW w:w="1720" w:type="dxa"/>
            <w:tcBorders>
              <w:tl2br w:val="nil"/>
              <w:tr2bl w:val="nil"/>
            </w:tcBorders>
            <w:shd w:val="clear" w:color="auto" w:fill="auto"/>
            <w:noWrap w:val="0"/>
            <w:vAlign w:val="center"/>
          </w:tcPr>
          <w:p w14:paraId="7761F45A">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局长</w:t>
            </w:r>
          </w:p>
        </w:tc>
      </w:tr>
      <w:tr w14:paraId="36B9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4377B644">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w:t>
            </w:r>
          </w:p>
        </w:tc>
        <w:tc>
          <w:tcPr>
            <w:tcW w:w="3485" w:type="dxa"/>
            <w:tcBorders>
              <w:tl2br w:val="nil"/>
              <w:tr2bl w:val="nil"/>
            </w:tcBorders>
            <w:shd w:val="clear" w:color="auto" w:fill="auto"/>
            <w:noWrap w:val="0"/>
            <w:vAlign w:val="center"/>
          </w:tcPr>
          <w:p w14:paraId="71547FA7">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区财政局</w:t>
            </w:r>
          </w:p>
        </w:tc>
        <w:tc>
          <w:tcPr>
            <w:tcW w:w="1110" w:type="dxa"/>
            <w:tcBorders>
              <w:tl2br w:val="nil"/>
              <w:tr2bl w:val="nil"/>
            </w:tcBorders>
            <w:shd w:val="clear" w:color="auto" w:fill="auto"/>
            <w:noWrap/>
            <w:vAlign w:val="center"/>
          </w:tcPr>
          <w:p w14:paraId="25E13C4A">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张传军</w:t>
            </w:r>
          </w:p>
        </w:tc>
        <w:tc>
          <w:tcPr>
            <w:tcW w:w="1720" w:type="dxa"/>
            <w:tcBorders>
              <w:tl2br w:val="nil"/>
              <w:tr2bl w:val="nil"/>
            </w:tcBorders>
            <w:shd w:val="clear" w:color="auto" w:fill="auto"/>
            <w:noWrap w:val="0"/>
            <w:vAlign w:val="center"/>
          </w:tcPr>
          <w:p w14:paraId="1B37AEEE">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局长</w:t>
            </w:r>
          </w:p>
        </w:tc>
      </w:tr>
      <w:tr w14:paraId="1EF2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480E727C">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w:t>
            </w:r>
          </w:p>
        </w:tc>
        <w:tc>
          <w:tcPr>
            <w:tcW w:w="3485" w:type="dxa"/>
            <w:tcBorders>
              <w:tl2br w:val="nil"/>
              <w:tr2bl w:val="nil"/>
            </w:tcBorders>
            <w:shd w:val="clear" w:color="auto" w:fill="auto"/>
            <w:noWrap w:val="0"/>
            <w:vAlign w:val="center"/>
          </w:tcPr>
          <w:p w14:paraId="593A4244">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区卫生健康</w:t>
            </w:r>
            <w:r>
              <w:rPr>
                <w:rFonts w:hint="eastAsia" w:ascii="仿宋_GB2312" w:hAnsi="仿宋_GB2312" w:eastAsia="仿宋_GB2312" w:cs="仿宋_GB2312"/>
                <w:color w:val="000000"/>
                <w:kern w:val="0"/>
                <w:sz w:val="24"/>
                <w:szCs w:val="24"/>
              </w:rPr>
              <w:t>委员会</w:t>
            </w:r>
          </w:p>
        </w:tc>
        <w:tc>
          <w:tcPr>
            <w:tcW w:w="1110" w:type="dxa"/>
            <w:tcBorders>
              <w:tl2br w:val="nil"/>
              <w:tr2bl w:val="nil"/>
            </w:tcBorders>
            <w:shd w:val="clear" w:color="auto" w:fill="auto"/>
            <w:noWrap/>
            <w:vAlign w:val="center"/>
          </w:tcPr>
          <w:p w14:paraId="24811B8D">
            <w:pPr>
              <w:widowControl/>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eastAsia="zh-CN"/>
              </w:rPr>
              <w:t>马伟</w:t>
            </w:r>
          </w:p>
        </w:tc>
        <w:tc>
          <w:tcPr>
            <w:tcW w:w="1720" w:type="dxa"/>
            <w:tcBorders>
              <w:tl2br w:val="nil"/>
              <w:tr2bl w:val="nil"/>
            </w:tcBorders>
            <w:shd w:val="clear" w:color="auto" w:fill="auto"/>
            <w:noWrap w:val="0"/>
            <w:vAlign w:val="center"/>
          </w:tcPr>
          <w:p w14:paraId="1E2BFC00">
            <w:pPr>
              <w:widowControl/>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主任</w:t>
            </w:r>
          </w:p>
        </w:tc>
      </w:tr>
      <w:tr w14:paraId="5942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6FB544AF">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7</w:t>
            </w:r>
          </w:p>
        </w:tc>
        <w:tc>
          <w:tcPr>
            <w:tcW w:w="3485" w:type="dxa"/>
            <w:tcBorders>
              <w:tl2br w:val="nil"/>
              <w:tr2bl w:val="nil"/>
            </w:tcBorders>
            <w:shd w:val="clear" w:color="auto" w:fill="auto"/>
            <w:noWrap w:val="0"/>
            <w:vAlign w:val="center"/>
          </w:tcPr>
          <w:p w14:paraId="5BC96B13">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区市场监督管理局</w:t>
            </w:r>
          </w:p>
        </w:tc>
        <w:tc>
          <w:tcPr>
            <w:tcW w:w="1110" w:type="dxa"/>
            <w:tcBorders>
              <w:tl2br w:val="nil"/>
              <w:tr2bl w:val="nil"/>
            </w:tcBorders>
            <w:shd w:val="clear" w:color="auto" w:fill="auto"/>
            <w:noWrap/>
            <w:vAlign w:val="center"/>
          </w:tcPr>
          <w:p w14:paraId="1C15F0D3">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孙超</w:t>
            </w:r>
          </w:p>
        </w:tc>
        <w:tc>
          <w:tcPr>
            <w:tcW w:w="1720" w:type="dxa"/>
            <w:tcBorders>
              <w:tl2br w:val="nil"/>
              <w:tr2bl w:val="nil"/>
            </w:tcBorders>
            <w:shd w:val="clear" w:color="auto" w:fill="auto"/>
            <w:noWrap w:val="0"/>
            <w:vAlign w:val="center"/>
          </w:tcPr>
          <w:p w14:paraId="48830794">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局长</w:t>
            </w:r>
          </w:p>
        </w:tc>
      </w:tr>
      <w:tr w14:paraId="4D2E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62F06C85">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8</w:t>
            </w:r>
          </w:p>
        </w:tc>
        <w:tc>
          <w:tcPr>
            <w:tcW w:w="3485" w:type="dxa"/>
            <w:tcBorders>
              <w:tl2br w:val="nil"/>
              <w:tr2bl w:val="nil"/>
            </w:tcBorders>
            <w:shd w:val="clear" w:color="auto" w:fill="auto"/>
            <w:noWrap w:val="0"/>
            <w:vAlign w:val="center"/>
          </w:tcPr>
          <w:p w14:paraId="2032C59C">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区应急管理</w:t>
            </w:r>
            <w:r>
              <w:rPr>
                <w:rFonts w:hint="eastAsia" w:ascii="仿宋_GB2312" w:hAnsi="仿宋_GB2312" w:eastAsia="仿宋_GB2312" w:cs="仿宋_GB2312"/>
                <w:color w:val="000000"/>
                <w:kern w:val="0"/>
                <w:sz w:val="24"/>
                <w:szCs w:val="24"/>
              </w:rPr>
              <w:t>局</w:t>
            </w:r>
          </w:p>
        </w:tc>
        <w:tc>
          <w:tcPr>
            <w:tcW w:w="1110" w:type="dxa"/>
            <w:tcBorders>
              <w:tl2br w:val="nil"/>
              <w:tr2bl w:val="nil"/>
            </w:tcBorders>
            <w:shd w:val="clear" w:color="auto" w:fill="auto"/>
            <w:noWrap/>
            <w:vAlign w:val="center"/>
          </w:tcPr>
          <w:p w14:paraId="624B3221">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陈海峰</w:t>
            </w:r>
          </w:p>
        </w:tc>
        <w:tc>
          <w:tcPr>
            <w:tcW w:w="1720" w:type="dxa"/>
            <w:tcBorders>
              <w:tl2br w:val="nil"/>
              <w:tr2bl w:val="nil"/>
            </w:tcBorders>
            <w:shd w:val="clear" w:color="auto" w:fill="auto"/>
            <w:noWrap w:val="0"/>
            <w:vAlign w:val="center"/>
          </w:tcPr>
          <w:p w14:paraId="1201FD8C">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局长</w:t>
            </w:r>
          </w:p>
        </w:tc>
      </w:tr>
      <w:tr w14:paraId="04BE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3CC2A526">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9</w:t>
            </w:r>
          </w:p>
        </w:tc>
        <w:tc>
          <w:tcPr>
            <w:tcW w:w="3485" w:type="dxa"/>
            <w:tcBorders>
              <w:tl2br w:val="nil"/>
              <w:tr2bl w:val="nil"/>
            </w:tcBorders>
            <w:shd w:val="clear" w:color="auto" w:fill="auto"/>
            <w:noWrap w:val="0"/>
            <w:vAlign w:val="center"/>
          </w:tcPr>
          <w:p w14:paraId="18E4BCAE">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区生态环境</w:t>
            </w:r>
            <w:r>
              <w:rPr>
                <w:rFonts w:hint="eastAsia" w:ascii="仿宋_GB2312" w:hAnsi="仿宋_GB2312" w:eastAsia="仿宋_GB2312" w:cs="仿宋_GB2312"/>
                <w:color w:val="000000"/>
                <w:kern w:val="0"/>
                <w:sz w:val="24"/>
                <w:szCs w:val="24"/>
              </w:rPr>
              <w:t>分局</w:t>
            </w:r>
          </w:p>
        </w:tc>
        <w:tc>
          <w:tcPr>
            <w:tcW w:w="1110" w:type="dxa"/>
            <w:tcBorders>
              <w:tl2br w:val="nil"/>
              <w:tr2bl w:val="nil"/>
            </w:tcBorders>
            <w:shd w:val="clear" w:color="auto" w:fill="auto"/>
            <w:noWrap/>
            <w:vAlign w:val="center"/>
          </w:tcPr>
          <w:p w14:paraId="027FD19B">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u w:val="none" w:color="auto"/>
                <w:lang w:val="en-US" w:eastAsia="zh-CN" w:bidi="ar-SA"/>
              </w:rPr>
              <w:t>王志强</w:t>
            </w:r>
          </w:p>
        </w:tc>
        <w:tc>
          <w:tcPr>
            <w:tcW w:w="1720" w:type="dxa"/>
            <w:tcBorders>
              <w:tl2br w:val="nil"/>
              <w:tr2bl w:val="nil"/>
            </w:tcBorders>
            <w:shd w:val="clear" w:color="auto" w:fill="auto"/>
            <w:noWrap w:val="0"/>
            <w:vAlign w:val="center"/>
          </w:tcPr>
          <w:p w14:paraId="1CB36DCB">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局长</w:t>
            </w:r>
          </w:p>
        </w:tc>
      </w:tr>
      <w:tr w14:paraId="55F4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0DD88D90">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p>
        </w:tc>
        <w:tc>
          <w:tcPr>
            <w:tcW w:w="3485" w:type="dxa"/>
            <w:tcBorders>
              <w:tl2br w:val="nil"/>
              <w:tr2bl w:val="nil"/>
            </w:tcBorders>
            <w:shd w:val="clear" w:color="auto" w:fill="auto"/>
            <w:noWrap w:val="0"/>
            <w:vAlign w:val="center"/>
          </w:tcPr>
          <w:p w14:paraId="3F12FA16">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烈山道路运输管理服务中心</w:t>
            </w:r>
          </w:p>
        </w:tc>
        <w:tc>
          <w:tcPr>
            <w:tcW w:w="1110" w:type="dxa"/>
            <w:tcBorders>
              <w:tl2br w:val="nil"/>
              <w:tr2bl w:val="nil"/>
            </w:tcBorders>
            <w:shd w:val="clear" w:color="auto" w:fill="auto"/>
            <w:noWrap/>
            <w:vAlign w:val="center"/>
          </w:tcPr>
          <w:p w14:paraId="4BDE3381">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lang w:val="en-US" w:eastAsia="zh-CN"/>
              </w:rPr>
              <w:t>潘  峰</w:t>
            </w:r>
          </w:p>
        </w:tc>
        <w:tc>
          <w:tcPr>
            <w:tcW w:w="1720" w:type="dxa"/>
            <w:tcBorders>
              <w:tl2br w:val="nil"/>
              <w:tr2bl w:val="nil"/>
            </w:tcBorders>
            <w:shd w:val="clear" w:color="auto" w:fill="auto"/>
            <w:noWrap w:val="0"/>
            <w:vAlign w:val="center"/>
          </w:tcPr>
          <w:p w14:paraId="06F54C8D">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主任</w:t>
            </w:r>
          </w:p>
        </w:tc>
      </w:tr>
      <w:tr w14:paraId="37FC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031D1588">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w:t>
            </w:r>
          </w:p>
        </w:tc>
        <w:tc>
          <w:tcPr>
            <w:tcW w:w="3485" w:type="dxa"/>
            <w:tcBorders>
              <w:tl2br w:val="nil"/>
              <w:tr2bl w:val="nil"/>
            </w:tcBorders>
            <w:shd w:val="clear" w:color="auto" w:fill="auto"/>
            <w:noWrap w:val="0"/>
            <w:vAlign w:val="center"/>
          </w:tcPr>
          <w:p w14:paraId="1384AC77">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区消防救援大队</w:t>
            </w:r>
          </w:p>
        </w:tc>
        <w:tc>
          <w:tcPr>
            <w:tcW w:w="1110" w:type="dxa"/>
            <w:tcBorders>
              <w:tl2br w:val="nil"/>
              <w:tr2bl w:val="nil"/>
            </w:tcBorders>
            <w:shd w:val="clear" w:color="auto" w:fill="auto"/>
            <w:noWrap/>
            <w:vAlign w:val="center"/>
          </w:tcPr>
          <w:p w14:paraId="19965B84">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张宏伟</w:t>
            </w:r>
          </w:p>
        </w:tc>
        <w:tc>
          <w:tcPr>
            <w:tcW w:w="1720" w:type="dxa"/>
            <w:tcBorders>
              <w:tl2br w:val="nil"/>
              <w:tr2bl w:val="nil"/>
            </w:tcBorders>
            <w:shd w:val="clear" w:color="auto" w:fill="auto"/>
            <w:noWrap w:val="0"/>
            <w:vAlign w:val="center"/>
          </w:tcPr>
          <w:p w14:paraId="65268306">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大队长</w:t>
            </w:r>
          </w:p>
        </w:tc>
      </w:tr>
      <w:tr w14:paraId="4DBD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4D9F9967">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12</w:t>
            </w:r>
          </w:p>
        </w:tc>
        <w:tc>
          <w:tcPr>
            <w:tcW w:w="3485" w:type="dxa"/>
            <w:tcBorders>
              <w:tl2br w:val="nil"/>
              <w:tr2bl w:val="nil"/>
            </w:tcBorders>
            <w:shd w:val="clear" w:color="auto" w:fill="auto"/>
            <w:noWrap w:val="0"/>
            <w:vAlign w:val="center"/>
          </w:tcPr>
          <w:p w14:paraId="36BE0C75">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烈山供电所</w:t>
            </w:r>
          </w:p>
        </w:tc>
        <w:tc>
          <w:tcPr>
            <w:tcW w:w="1110" w:type="dxa"/>
            <w:tcBorders>
              <w:tl2br w:val="nil"/>
              <w:tr2bl w:val="nil"/>
            </w:tcBorders>
            <w:shd w:val="clear" w:color="auto" w:fill="auto"/>
            <w:noWrap/>
            <w:vAlign w:val="center"/>
          </w:tcPr>
          <w:p w14:paraId="3A353B5A">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lang w:val="en-US" w:eastAsia="zh-CN"/>
              </w:rPr>
              <w:t>李 世</w:t>
            </w:r>
            <w:r>
              <w:rPr>
                <w:rFonts w:hint="eastAsia" w:ascii="仿宋_GB2312" w:hAnsi="仿宋_GB2312" w:eastAsia="仿宋_GB2312" w:cs="仿宋_GB2312"/>
                <w:color w:val="000000"/>
                <w:kern w:val="0"/>
                <w:sz w:val="24"/>
                <w:szCs w:val="24"/>
              </w:rPr>
              <w:t>　</w:t>
            </w:r>
          </w:p>
        </w:tc>
        <w:tc>
          <w:tcPr>
            <w:tcW w:w="1720" w:type="dxa"/>
            <w:tcBorders>
              <w:tl2br w:val="nil"/>
              <w:tr2bl w:val="nil"/>
            </w:tcBorders>
            <w:shd w:val="clear" w:color="auto" w:fill="auto"/>
            <w:noWrap w:val="0"/>
            <w:vAlign w:val="center"/>
          </w:tcPr>
          <w:p w14:paraId="4E4A3757">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所长　</w:t>
            </w:r>
          </w:p>
        </w:tc>
      </w:tr>
      <w:tr w14:paraId="6BD9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64885274">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13</w:t>
            </w:r>
          </w:p>
        </w:tc>
        <w:tc>
          <w:tcPr>
            <w:tcW w:w="3485" w:type="dxa"/>
            <w:tcBorders>
              <w:tl2br w:val="nil"/>
              <w:tr2bl w:val="nil"/>
            </w:tcBorders>
            <w:shd w:val="clear" w:color="auto" w:fill="auto"/>
            <w:noWrap w:val="0"/>
            <w:vAlign w:val="center"/>
          </w:tcPr>
          <w:p w14:paraId="7DF7DCA5">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中国电信淮北分公司烈山</w:t>
            </w:r>
            <w:r>
              <w:rPr>
                <w:rFonts w:hint="eastAsia" w:ascii="仿宋_GB2312" w:hAnsi="仿宋_GB2312" w:cs="仿宋_GB2312"/>
                <w:color w:val="000000"/>
                <w:kern w:val="0"/>
                <w:sz w:val="24"/>
                <w:szCs w:val="24"/>
                <w:lang w:val="en-US" w:eastAsia="zh-CN"/>
              </w:rPr>
              <w:t>区分局</w:t>
            </w:r>
          </w:p>
        </w:tc>
        <w:tc>
          <w:tcPr>
            <w:tcW w:w="1110" w:type="dxa"/>
            <w:tcBorders>
              <w:tl2br w:val="nil"/>
              <w:tr2bl w:val="nil"/>
            </w:tcBorders>
            <w:shd w:val="clear" w:color="auto" w:fill="auto"/>
            <w:noWrap/>
            <w:vAlign w:val="center"/>
          </w:tcPr>
          <w:p w14:paraId="0BBFC5EC">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lang w:val="en-US" w:eastAsia="zh-CN"/>
              </w:rPr>
              <w:t>魏耀飞</w:t>
            </w:r>
            <w:r>
              <w:rPr>
                <w:rFonts w:hint="eastAsia" w:ascii="仿宋_GB2312" w:hAnsi="仿宋_GB2312" w:eastAsia="仿宋_GB2312" w:cs="仿宋_GB2312"/>
                <w:color w:val="000000"/>
                <w:kern w:val="0"/>
                <w:sz w:val="24"/>
                <w:szCs w:val="24"/>
              </w:rPr>
              <w:t>　</w:t>
            </w:r>
          </w:p>
        </w:tc>
        <w:tc>
          <w:tcPr>
            <w:tcW w:w="1720" w:type="dxa"/>
            <w:tcBorders>
              <w:tl2br w:val="nil"/>
              <w:tr2bl w:val="nil"/>
            </w:tcBorders>
            <w:shd w:val="clear" w:color="auto" w:fill="auto"/>
            <w:noWrap w:val="0"/>
            <w:vAlign w:val="center"/>
          </w:tcPr>
          <w:p w14:paraId="5C203D26">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局长</w:t>
            </w:r>
          </w:p>
        </w:tc>
      </w:tr>
      <w:tr w14:paraId="626D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5A4F241D">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14</w:t>
            </w:r>
          </w:p>
        </w:tc>
        <w:tc>
          <w:tcPr>
            <w:tcW w:w="3485" w:type="dxa"/>
            <w:tcBorders>
              <w:tl2br w:val="nil"/>
              <w:tr2bl w:val="nil"/>
            </w:tcBorders>
            <w:shd w:val="clear" w:color="auto" w:fill="auto"/>
            <w:noWrap w:val="0"/>
            <w:vAlign w:val="center"/>
          </w:tcPr>
          <w:p w14:paraId="0B246299">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烈山经济开发区</w:t>
            </w:r>
          </w:p>
        </w:tc>
        <w:tc>
          <w:tcPr>
            <w:tcW w:w="1110" w:type="dxa"/>
            <w:tcBorders>
              <w:tl2br w:val="nil"/>
              <w:tr2bl w:val="nil"/>
            </w:tcBorders>
            <w:shd w:val="clear" w:color="auto" w:fill="auto"/>
            <w:noWrap/>
            <w:vAlign w:val="center"/>
          </w:tcPr>
          <w:p w14:paraId="6135AB69">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郭立洋</w:t>
            </w:r>
          </w:p>
        </w:tc>
        <w:tc>
          <w:tcPr>
            <w:tcW w:w="1720" w:type="dxa"/>
            <w:tcBorders>
              <w:tl2br w:val="nil"/>
              <w:tr2bl w:val="nil"/>
            </w:tcBorders>
            <w:shd w:val="clear" w:color="auto" w:fill="auto"/>
            <w:noWrap w:val="0"/>
            <w:vAlign w:val="center"/>
          </w:tcPr>
          <w:p w14:paraId="4CED9BF8">
            <w:pPr>
              <w:widowControl/>
              <w:jc w:val="center"/>
              <w:rPr>
                <w:rFonts w:hint="default"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lang w:val="en-US" w:eastAsia="zh-CN"/>
              </w:rPr>
              <w:t>开发区主任</w:t>
            </w:r>
          </w:p>
        </w:tc>
      </w:tr>
      <w:tr w14:paraId="630C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15820482">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w:t>
            </w:r>
          </w:p>
        </w:tc>
        <w:tc>
          <w:tcPr>
            <w:tcW w:w="3485" w:type="dxa"/>
            <w:tcBorders>
              <w:tl2br w:val="nil"/>
              <w:tr2bl w:val="nil"/>
            </w:tcBorders>
            <w:shd w:val="clear" w:color="auto" w:fill="auto"/>
            <w:noWrap w:val="0"/>
            <w:vAlign w:val="center"/>
          </w:tcPr>
          <w:p w14:paraId="320670E9">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烈山镇人民政府</w:t>
            </w:r>
          </w:p>
        </w:tc>
        <w:tc>
          <w:tcPr>
            <w:tcW w:w="1110" w:type="dxa"/>
            <w:tcBorders>
              <w:tl2br w:val="nil"/>
              <w:tr2bl w:val="nil"/>
            </w:tcBorders>
            <w:shd w:val="clear" w:color="auto" w:fill="auto"/>
            <w:noWrap/>
            <w:vAlign w:val="center"/>
          </w:tcPr>
          <w:p w14:paraId="029938CA">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王家祥</w:t>
            </w:r>
          </w:p>
        </w:tc>
        <w:tc>
          <w:tcPr>
            <w:tcW w:w="1720" w:type="dxa"/>
            <w:tcBorders>
              <w:tl2br w:val="nil"/>
              <w:tr2bl w:val="nil"/>
            </w:tcBorders>
            <w:shd w:val="clear" w:color="auto" w:fill="auto"/>
            <w:noWrap w:val="0"/>
            <w:vAlign w:val="center"/>
          </w:tcPr>
          <w:p w14:paraId="3D6369FE">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镇长</w:t>
            </w:r>
          </w:p>
        </w:tc>
      </w:tr>
      <w:tr w14:paraId="0AD9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0A26A36B">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16</w:t>
            </w:r>
          </w:p>
        </w:tc>
        <w:tc>
          <w:tcPr>
            <w:tcW w:w="3485" w:type="dxa"/>
            <w:tcBorders>
              <w:tl2br w:val="nil"/>
              <w:tr2bl w:val="nil"/>
            </w:tcBorders>
            <w:shd w:val="clear" w:color="auto" w:fill="auto"/>
            <w:noWrap w:val="0"/>
            <w:vAlign w:val="center"/>
          </w:tcPr>
          <w:p w14:paraId="5E39DDA2">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宋疃镇</w:t>
            </w:r>
            <w:r>
              <w:rPr>
                <w:rFonts w:hint="eastAsia" w:ascii="仿宋_GB2312" w:hAnsi="仿宋_GB2312" w:eastAsia="仿宋_GB2312" w:cs="仿宋_GB2312"/>
                <w:color w:val="000000"/>
                <w:kern w:val="0"/>
                <w:sz w:val="24"/>
                <w:szCs w:val="24"/>
              </w:rPr>
              <w:t>人民政府</w:t>
            </w:r>
          </w:p>
        </w:tc>
        <w:tc>
          <w:tcPr>
            <w:tcW w:w="1110" w:type="dxa"/>
            <w:tcBorders>
              <w:tl2br w:val="nil"/>
              <w:tr2bl w:val="nil"/>
            </w:tcBorders>
            <w:shd w:val="clear" w:color="auto" w:fill="auto"/>
            <w:noWrap/>
            <w:vAlign w:val="center"/>
          </w:tcPr>
          <w:p w14:paraId="176FA99B">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张</w:t>
            </w:r>
            <w:r>
              <w:rPr>
                <w:rFonts w:hint="eastAsia" w:ascii="仿宋_GB2312" w:hAnsi="仿宋_GB2312" w:cs="仿宋_GB2312"/>
                <w:color w:val="000000"/>
                <w:kern w:val="0"/>
                <w:sz w:val="24"/>
                <w:szCs w:val="24"/>
                <w:lang w:val="en-US" w:eastAsia="zh-CN"/>
              </w:rPr>
              <w:t xml:space="preserve">  </w:t>
            </w:r>
            <w:r>
              <w:rPr>
                <w:rFonts w:hint="eastAsia" w:ascii="仿宋_GB2312" w:hAnsi="仿宋_GB2312" w:eastAsia="仿宋_GB2312" w:cs="仿宋_GB2312"/>
                <w:color w:val="000000"/>
                <w:kern w:val="0"/>
                <w:sz w:val="24"/>
                <w:szCs w:val="24"/>
              </w:rPr>
              <w:t>涛</w:t>
            </w:r>
          </w:p>
        </w:tc>
        <w:tc>
          <w:tcPr>
            <w:tcW w:w="1720" w:type="dxa"/>
            <w:tcBorders>
              <w:tl2br w:val="nil"/>
              <w:tr2bl w:val="nil"/>
            </w:tcBorders>
            <w:shd w:val="clear" w:color="auto" w:fill="auto"/>
            <w:noWrap w:val="0"/>
            <w:vAlign w:val="center"/>
          </w:tcPr>
          <w:p w14:paraId="07DD424E">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镇长</w:t>
            </w:r>
          </w:p>
        </w:tc>
      </w:tr>
      <w:tr w14:paraId="719A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5F2624A7">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17</w:t>
            </w:r>
          </w:p>
        </w:tc>
        <w:tc>
          <w:tcPr>
            <w:tcW w:w="3485" w:type="dxa"/>
            <w:tcBorders>
              <w:tl2br w:val="nil"/>
              <w:tr2bl w:val="nil"/>
            </w:tcBorders>
            <w:shd w:val="clear" w:color="auto" w:fill="auto"/>
            <w:noWrap w:val="0"/>
            <w:vAlign w:val="center"/>
          </w:tcPr>
          <w:p w14:paraId="5DD44351">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古饶镇人民政府</w:t>
            </w:r>
          </w:p>
        </w:tc>
        <w:tc>
          <w:tcPr>
            <w:tcW w:w="1110" w:type="dxa"/>
            <w:tcBorders>
              <w:tl2br w:val="nil"/>
              <w:tr2bl w:val="nil"/>
            </w:tcBorders>
            <w:shd w:val="clear" w:color="auto" w:fill="auto"/>
            <w:noWrap/>
            <w:vAlign w:val="center"/>
          </w:tcPr>
          <w:p w14:paraId="4F8DE9F6">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王春梅</w:t>
            </w:r>
          </w:p>
        </w:tc>
        <w:tc>
          <w:tcPr>
            <w:tcW w:w="1720" w:type="dxa"/>
            <w:tcBorders>
              <w:tl2br w:val="nil"/>
              <w:tr2bl w:val="nil"/>
            </w:tcBorders>
            <w:shd w:val="clear" w:color="auto" w:fill="auto"/>
            <w:noWrap w:val="0"/>
            <w:vAlign w:val="center"/>
          </w:tcPr>
          <w:p w14:paraId="1381DBF9">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镇长</w:t>
            </w:r>
          </w:p>
        </w:tc>
      </w:tr>
      <w:tr w14:paraId="7A49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noWrap/>
            <w:vAlign w:val="center"/>
          </w:tcPr>
          <w:p w14:paraId="4D3008CB">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18</w:t>
            </w:r>
          </w:p>
        </w:tc>
        <w:tc>
          <w:tcPr>
            <w:tcW w:w="3485" w:type="dxa"/>
            <w:tcBorders>
              <w:tl2br w:val="nil"/>
              <w:tr2bl w:val="nil"/>
            </w:tcBorders>
            <w:shd w:val="clear" w:color="auto" w:fill="auto"/>
            <w:noWrap w:val="0"/>
            <w:vAlign w:val="center"/>
          </w:tcPr>
          <w:p w14:paraId="3F8082DE">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杨庄街道办事处</w:t>
            </w:r>
          </w:p>
        </w:tc>
        <w:tc>
          <w:tcPr>
            <w:tcW w:w="1110" w:type="dxa"/>
            <w:tcBorders>
              <w:tl2br w:val="nil"/>
              <w:tr2bl w:val="nil"/>
            </w:tcBorders>
            <w:shd w:val="clear" w:color="auto" w:fill="auto"/>
            <w:noWrap/>
            <w:vAlign w:val="center"/>
          </w:tcPr>
          <w:p w14:paraId="145E6A11">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lang w:val="en-US" w:eastAsia="zh-CN"/>
              </w:rPr>
              <w:t>徐丹丹</w:t>
            </w:r>
          </w:p>
        </w:tc>
        <w:tc>
          <w:tcPr>
            <w:tcW w:w="1720" w:type="dxa"/>
            <w:tcBorders>
              <w:tl2br w:val="nil"/>
              <w:tr2bl w:val="nil"/>
            </w:tcBorders>
            <w:shd w:val="clear" w:color="auto" w:fill="auto"/>
            <w:noWrap w:val="0"/>
            <w:vAlign w:val="center"/>
          </w:tcPr>
          <w:p w14:paraId="1FAC489D">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主任</w:t>
            </w:r>
          </w:p>
        </w:tc>
      </w:tr>
      <w:tr w14:paraId="362D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shd w:val="clear" w:color="auto" w:fill="auto"/>
            <w:noWrap/>
            <w:vAlign w:val="center"/>
          </w:tcPr>
          <w:p w14:paraId="276E3499">
            <w:pPr>
              <w:widowControl/>
              <w:jc w:val="center"/>
              <w:rPr>
                <w:rFonts w:ascii="Times New Roman" w:hAnsi="Times New Roman" w:eastAsia="宋体" w:cs="Times New Roman"/>
                <w:color w:val="000000"/>
                <w:kern w:val="0"/>
                <w:sz w:val="24"/>
                <w:szCs w:val="24"/>
                <w:lang w:val="en-US" w:eastAsia="zh-CN" w:bidi="ar-SA"/>
              </w:rPr>
            </w:pPr>
            <w:r>
              <w:rPr>
                <w:rFonts w:ascii="Times New Roman" w:hAnsi="Times New Roman" w:eastAsia="宋体" w:cs="Times New Roman"/>
                <w:color w:val="000000"/>
                <w:kern w:val="0"/>
                <w:sz w:val="24"/>
                <w:szCs w:val="24"/>
              </w:rPr>
              <w:t>19</w:t>
            </w:r>
          </w:p>
        </w:tc>
        <w:tc>
          <w:tcPr>
            <w:tcW w:w="3485" w:type="dxa"/>
            <w:tcBorders>
              <w:tl2br w:val="nil"/>
              <w:tr2bl w:val="nil"/>
            </w:tcBorders>
            <w:shd w:val="clear" w:color="auto" w:fill="auto"/>
            <w:noWrap w:val="0"/>
            <w:vAlign w:val="center"/>
          </w:tcPr>
          <w:p w14:paraId="1BD5817D">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临海童街道办事处</w:t>
            </w:r>
          </w:p>
        </w:tc>
        <w:tc>
          <w:tcPr>
            <w:tcW w:w="1110" w:type="dxa"/>
            <w:tcBorders>
              <w:tl2br w:val="nil"/>
              <w:tr2bl w:val="nil"/>
            </w:tcBorders>
            <w:shd w:val="clear" w:color="auto" w:fill="auto"/>
            <w:noWrap/>
            <w:vAlign w:val="center"/>
          </w:tcPr>
          <w:p w14:paraId="0F0E7B81">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cs="仿宋_GB2312"/>
                <w:color w:val="000000"/>
                <w:kern w:val="0"/>
                <w:sz w:val="24"/>
                <w:szCs w:val="24"/>
                <w:lang w:val="en-US" w:eastAsia="zh-CN"/>
              </w:rPr>
              <w:t>魏  军</w:t>
            </w:r>
          </w:p>
        </w:tc>
        <w:tc>
          <w:tcPr>
            <w:tcW w:w="1720" w:type="dxa"/>
            <w:tcBorders>
              <w:tl2br w:val="nil"/>
              <w:tr2bl w:val="nil"/>
            </w:tcBorders>
            <w:shd w:val="clear" w:color="auto" w:fill="auto"/>
            <w:noWrap w:val="0"/>
            <w:vAlign w:val="center"/>
          </w:tcPr>
          <w:p w14:paraId="7C593B5E">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党委书记</w:t>
            </w:r>
          </w:p>
        </w:tc>
      </w:tr>
      <w:tr w14:paraId="59CD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shd w:val="clear" w:color="auto" w:fill="auto"/>
            <w:noWrap/>
            <w:vAlign w:val="center"/>
          </w:tcPr>
          <w:p w14:paraId="26095812">
            <w:pPr>
              <w:widowControl/>
              <w:jc w:val="center"/>
              <w:rPr>
                <w:rFonts w:ascii="Times New Roman" w:hAnsi="Times New Roman" w:eastAsia="宋体" w:cs="Times New Roman"/>
                <w:color w:val="000000"/>
                <w:kern w:val="0"/>
                <w:sz w:val="24"/>
                <w:szCs w:val="24"/>
                <w:lang w:val="en-US" w:eastAsia="zh-CN" w:bidi="ar-SA"/>
              </w:rPr>
            </w:pPr>
            <w:r>
              <w:rPr>
                <w:rFonts w:ascii="Times New Roman" w:hAnsi="Times New Roman" w:eastAsia="宋体" w:cs="Times New Roman"/>
                <w:color w:val="000000"/>
                <w:kern w:val="0"/>
                <w:sz w:val="24"/>
                <w:szCs w:val="24"/>
              </w:rPr>
              <w:t>20</w:t>
            </w:r>
          </w:p>
        </w:tc>
        <w:tc>
          <w:tcPr>
            <w:tcW w:w="3485" w:type="dxa"/>
            <w:tcBorders>
              <w:tl2br w:val="nil"/>
              <w:tr2bl w:val="nil"/>
            </w:tcBorders>
            <w:shd w:val="clear" w:color="auto" w:fill="auto"/>
            <w:noWrap w:val="0"/>
            <w:vAlign w:val="center"/>
          </w:tcPr>
          <w:p w14:paraId="3711B68C">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百善街道办事处</w:t>
            </w:r>
          </w:p>
        </w:tc>
        <w:tc>
          <w:tcPr>
            <w:tcW w:w="1110" w:type="dxa"/>
            <w:tcBorders>
              <w:tl2br w:val="nil"/>
              <w:tr2bl w:val="nil"/>
            </w:tcBorders>
            <w:shd w:val="clear" w:color="auto" w:fill="auto"/>
            <w:noWrap/>
            <w:vAlign w:val="center"/>
          </w:tcPr>
          <w:p w14:paraId="5C6C221C">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姜连永</w:t>
            </w:r>
          </w:p>
        </w:tc>
        <w:tc>
          <w:tcPr>
            <w:tcW w:w="1720" w:type="dxa"/>
            <w:tcBorders>
              <w:tl2br w:val="nil"/>
              <w:tr2bl w:val="nil"/>
            </w:tcBorders>
            <w:shd w:val="clear" w:color="auto" w:fill="auto"/>
            <w:noWrap w:val="0"/>
            <w:vAlign w:val="center"/>
          </w:tcPr>
          <w:p w14:paraId="254F70EA">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主任</w:t>
            </w:r>
          </w:p>
        </w:tc>
      </w:tr>
      <w:tr w14:paraId="634F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8" w:type="dxa"/>
            <w:tcBorders>
              <w:tl2br w:val="nil"/>
              <w:tr2bl w:val="nil"/>
            </w:tcBorders>
            <w:shd w:val="clear" w:color="auto" w:fill="auto"/>
            <w:noWrap/>
            <w:vAlign w:val="center"/>
          </w:tcPr>
          <w:p w14:paraId="2441E0E7">
            <w:pPr>
              <w:widowControl/>
              <w:jc w:val="center"/>
              <w:rPr>
                <w:rFonts w:ascii="Times New Roman" w:hAnsi="Times New Roman" w:eastAsia="宋体" w:cs="Times New Roman"/>
                <w:color w:val="000000"/>
                <w:kern w:val="0"/>
                <w:sz w:val="24"/>
                <w:szCs w:val="24"/>
                <w:lang w:val="en-US" w:eastAsia="zh-CN" w:bidi="ar-SA"/>
              </w:rPr>
            </w:pPr>
            <w:r>
              <w:rPr>
                <w:rFonts w:ascii="Times New Roman" w:hAnsi="Times New Roman" w:eastAsia="宋体" w:cs="Times New Roman"/>
                <w:color w:val="000000"/>
                <w:kern w:val="0"/>
                <w:sz w:val="24"/>
                <w:szCs w:val="24"/>
              </w:rPr>
              <w:t>21</w:t>
            </w:r>
          </w:p>
        </w:tc>
        <w:tc>
          <w:tcPr>
            <w:tcW w:w="3485" w:type="dxa"/>
            <w:tcBorders>
              <w:tl2br w:val="nil"/>
              <w:tr2bl w:val="nil"/>
            </w:tcBorders>
            <w:shd w:val="clear" w:color="auto" w:fill="auto"/>
            <w:noWrap w:val="0"/>
            <w:vAlign w:val="center"/>
          </w:tcPr>
          <w:p w14:paraId="6311F083">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任楼街道办事处</w:t>
            </w:r>
          </w:p>
        </w:tc>
        <w:tc>
          <w:tcPr>
            <w:tcW w:w="1110" w:type="dxa"/>
            <w:tcBorders>
              <w:tl2br w:val="nil"/>
              <w:tr2bl w:val="nil"/>
            </w:tcBorders>
            <w:shd w:val="clear" w:color="auto" w:fill="auto"/>
            <w:noWrap/>
            <w:vAlign w:val="center"/>
          </w:tcPr>
          <w:p w14:paraId="78245E12">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lang w:eastAsia="zh-CN"/>
              </w:rPr>
              <w:t>顾</w:t>
            </w:r>
            <w:r>
              <w:rPr>
                <w:rFonts w:hint="eastAsia" w:ascii="仿宋_GB2312" w:hAnsi="仿宋_GB2312" w:cs="仿宋_GB2312"/>
                <w:color w:val="000000"/>
                <w:kern w:val="0"/>
                <w:sz w:val="24"/>
                <w:szCs w:val="24"/>
                <w:lang w:val="en-US" w:eastAsia="zh-CN"/>
              </w:rPr>
              <w:t xml:space="preserve">  </w:t>
            </w:r>
            <w:r>
              <w:rPr>
                <w:rFonts w:hint="eastAsia" w:ascii="仿宋_GB2312" w:hAnsi="仿宋_GB2312" w:eastAsia="仿宋_GB2312" w:cs="仿宋_GB2312"/>
                <w:color w:val="000000"/>
                <w:kern w:val="0"/>
                <w:sz w:val="24"/>
                <w:szCs w:val="24"/>
                <w:lang w:eastAsia="zh-CN"/>
              </w:rPr>
              <w:t>磊</w:t>
            </w:r>
          </w:p>
        </w:tc>
        <w:tc>
          <w:tcPr>
            <w:tcW w:w="1720" w:type="dxa"/>
            <w:tcBorders>
              <w:tl2br w:val="nil"/>
              <w:tr2bl w:val="nil"/>
            </w:tcBorders>
            <w:shd w:val="clear" w:color="auto" w:fill="auto"/>
            <w:noWrap w:val="0"/>
            <w:vAlign w:val="center"/>
          </w:tcPr>
          <w:p w14:paraId="594D895A">
            <w:pPr>
              <w:widowControl/>
              <w:jc w:val="cente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u w:val="none" w:color="auto"/>
                <w:lang w:val="en-US" w:eastAsia="zh-CN" w:bidi="ar-SA"/>
              </w:rPr>
              <w:t>主任</w:t>
            </w:r>
          </w:p>
        </w:tc>
      </w:tr>
    </w:tbl>
    <w:p w14:paraId="3609D633">
      <w:pPr>
        <w:widowControl/>
        <w:jc w:val="center"/>
        <w:rPr>
          <w:rFonts w:ascii="Times New Roman" w:hAnsi="Times New Roman" w:eastAsia="宋体" w:cs="Times New Roman"/>
          <w:color w:val="000000"/>
          <w:kern w:val="0"/>
          <w:sz w:val="24"/>
          <w:szCs w:val="24"/>
        </w:rPr>
        <w:sectPr>
          <w:pgSz w:w="11906" w:h="16838"/>
          <w:pgMar w:top="2098" w:right="1474" w:bottom="1814" w:left="1587" w:header="851" w:footer="1304" w:gutter="0"/>
          <w:pgBorders>
            <w:top w:val="none" w:sz="0" w:space="0"/>
            <w:left w:val="none" w:sz="0" w:space="0"/>
            <w:bottom w:val="none" w:sz="0" w:space="0"/>
            <w:right w:val="none" w:sz="0" w:space="0"/>
          </w:pgBorders>
          <w:pgNumType w:fmt="decimal"/>
          <w:cols w:space="720" w:num="1"/>
          <w:titlePg/>
          <w:docGrid w:type="linesAndChars" w:linePitch="584" w:charSpace="-1844"/>
        </w:sectPr>
      </w:pPr>
    </w:p>
    <w:p w14:paraId="7DE7D842">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6" w:lineRule="atLeast"/>
        <w:ind w:right="0" w:rightChars="0"/>
        <w:jc w:val="center"/>
        <w:outlineLvl w:val="9"/>
        <w:rPr>
          <w:rFonts w:hint="eastAsia" w:ascii="楷体" w:hAnsi="楷体" w:eastAsia="楷体" w:cs="楷体"/>
          <w:b/>
          <w:bCs/>
          <w:spacing w:val="8"/>
          <w:kern w:val="2"/>
          <w:sz w:val="32"/>
          <w:szCs w:val="32"/>
          <w:lang w:val="en-US" w:eastAsia="zh-CN" w:bidi="ar-SA"/>
        </w:rPr>
      </w:pPr>
      <w:r>
        <w:rPr>
          <w:rFonts w:hint="eastAsia" w:ascii="楷体" w:hAnsi="楷体" w:eastAsia="楷体" w:cs="楷体"/>
          <w:b/>
          <w:bCs/>
          <w:spacing w:val="8"/>
          <w:kern w:val="2"/>
          <w:sz w:val="32"/>
          <w:szCs w:val="32"/>
          <w:lang w:val="en-US" w:eastAsia="zh-CN" w:bidi="ar-SA"/>
        </w:rPr>
        <w:t>附件3烈山区危险化学品生产安全事故应急指挥部</w:t>
      </w:r>
    </w:p>
    <w:p w14:paraId="22B251DF">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6" w:lineRule="atLeast"/>
        <w:ind w:right="0" w:rightChars="0"/>
        <w:jc w:val="center"/>
        <w:outlineLvl w:val="9"/>
        <w:rPr>
          <w:rFonts w:hint="eastAsia" w:ascii="楷体" w:hAnsi="楷体" w:eastAsia="楷体" w:cs="楷体"/>
          <w:b/>
          <w:bCs/>
          <w:spacing w:val="8"/>
          <w:kern w:val="2"/>
          <w:sz w:val="32"/>
          <w:szCs w:val="32"/>
          <w:lang w:val="en-US" w:eastAsia="zh-CN" w:bidi="ar-SA"/>
        </w:rPr>
      </w:pPr>
      <w:r>
        <w:rPr>
          <w:rFonts w:hint="eastAsia" w:ascii="楷体" w:hAnsi="楷体" w:eastAsia="楷体" w:cs="楷体"/>
          <w:b/>
          <w:bCs/>
          <w:spacing w:val="8"/>
          <w:kern w:val="2"/>
          <w:sz w:val="32"/>
          <w:szCs w:val="32"/>
          <w:lang w:val="en-US" w:eastAsia="zh-CN" w:bidi="ar-SA"/>
        </w:rPr>
        <w:t>专家组名单</w:t>
      </w:r>
    </w:p>
    <w:tbl>
      <w:tblPr>
        <w:tblStyle w:val="14"/>
        <w:tblpPr w:leftFromText="180" w:rightFromText="180" w:vertAnchor="text" w:horzAnchor="page" w:tblpX="2160" w:tblpY="228"/>
        <w:tblW w:w="8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1441"/>
        <w:gridCol w:w="1650"/>
        <w:gridCol w:w="3105"/>
      </w:tblGrid>
      <w:tr w14:paraId="1891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348CA65C">
            <w:pPr>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序号</w:t>
            </w:r>
          </w:p>
        </w:tc>
        <w:tc>
          <w:tcPr>
            <w:tcW w:w="992" w:type="dxa"/>
            <w:noWrap w:val="0"/>
            <w:vAlign w:val="center"/>
          </w:tcPr>
          <w:p w14:paraId="569C8AE3">
            <w:pPr>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姓名</w:t>
            </w:r>
          </w:p>
        </w:tc>
        <w:tc>
          <w:tcPr>
            <w:tcW w:w="1441" w:type="dxa"/>
            <w:noWrap w:val="0"/>
            <w:vAlign w:val="center"/>
          </w:tcPr>
          <w:p w14:paraId="18EAC511">
            <w:pPr>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职称</w:t>
            </w:r>
          </w:p>
        </w:tc>
        <w:tc>
          <w:tcPr>
            <w:tcW w:w="1650" w:type="dxa"/>
            <w:noWrap w:val="0"/>
            <w:vAlign w:val="center"/>
          </w:tcPr>
          <w:p w14:paraId="57B1968D">
            <w:pPr>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专业特长</w:t>
            </w:r>
          </w:p>
        </w:tc>
        <w:tc>
          <w:tcPr>
            <w:tcW w:w="3105" w:type="dxa"/>
            <w:noWrap w:val="0"/>
            <w:vAlign w:val="center"/>
          </w:tcPr>
          <w:p w14:paraId="40F8F3ED">
            <w:pPr>
              <w:jc w:val="center"/>
              <w:rPr>
                <w:rFonts w:hint="eastAsia" w:ascii="黑体" w:hAnsi="黑体" w:eastAsia="黑体" w:cs="黑体"/>
                <w:b w:val="0"/>
                <w:bCs/>
                <w:kern w:val="0"/>
                <w:sz w:val="24"/>
                <w:szCs w:val="24"/>
              </w:rPr>
            </w:pPr>
            <w:r>
              <w:rPr>
                <w:rFonts w:hint="eastAsia" w:ascii="黑体" w:hAnsi="黑体" w:eastAsia="黑体" w:cs="黑体"/>
                <w:b w:val="0"/>
                <w:bCs/>
                <w:kern w:val="0"/>
                <w:sz w:val="24"/>
                <w:szCs w:val="24"/>
              </w:rPr>
              <w:t>所在单位</w:t>
            </w:r>
          </w:p>
        </w:tc>
      </w:tr>
      <w:tr w14:paraId="5D41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12A02A0E">
            <w:pPr>
              <w:spacing w:line="2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992" w:type="dxa"/>
            <w:noWrap w:val="0"/>
            <w:vAlign w:val="center"/>
          </w:tcPr>
          <w:p w14:paraId="1C12865D">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廖俊</w:t>
            </w:r>
          </w:p>
        </w:tc>
        <w:tc>
          <w:tcPr>
            <w:tcW w:w="1441" w:type="dxa"/>
            <w:noWrap w:val="0"/>
            <w:vAlign w:val="center"/>
          </w:tcPr>
          <w:p w14:paraId="2EE919CB">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高级工程师</w:t>
            </w:r>
          </w:p>
        </w:tc>
        <w:tc>
          <w:tcPr>
            <w:tcW w:w="1650" w:type="dxa"/>
            <w:noWrap w:val="0"/>
            <w:vAlign w:val="center"/>
          </w:tcPr>
          <w:p w14:paraId="650D1045">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危化</w:t>
            </w:r>
          </w:p>
        </w:tc>
        <w:tc>
          <w:tcPr>
            <w:tcW w:w="3105" w:type="dxa"/>
            <w:noWrap w:val="0"/>
            <w:vAlign w:val="center"/>
          </w:tcPr>
          <w:p w14:paraId="3271A813">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安徽雷鸣安全技术咨询</w:t>
            </w:r>
          </w:p>
          <w:p w14:paraId="2E1ADBE8">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有限公司</w:t>
            </w:r>
          </w:p>
        </w:tc>
      </w:tr>
      <w:tr w14:paraId="743F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302B05A4">
            <w:pPr>
              <w:spacing w:line="2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p>
        </w:tc>
        <w:tc>
          <w:tcPr>
            <w:tcW w:w="992" w:type="dxa"/>
            <w:noWrap w:val="0"/>
            <w:vAlign w:val="center"/>
          </w:tcPr>
          <w:p w14:paraId="093D1F87">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刘亚松</w:t>
            </w:r>
          </w:p>
        </w:tc>
        <w:tc>
          <w:tcPr>
            <w:tcW w:w="1441" w:type="dxa"/>
            <w:noWrap w:val="0"/>
            <w:vAlign w:val="center"/>
          </w:tcPr>
          <w:p w14:paraId="307C5099">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高级工程师</w:t>
            </w:r>
          </w:p>
        </w:tc>
        <w:tc>
          <w:tcPr>
            <w:tcW w:w="1650" w:type="dxa"/>
            <w:noWrap w:val="0"/>
            <w:vAlign w:val="center"/>
          </w:tcPr>
          <w:p w14:paraId="0A0DC0D7">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精细化工</w:t>
            </w:r>
          </w:p>
          <w:p w14:paraId="5C9FA153">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化学工程</w:t>
            </w:r>
          </w:p>
        </w:tc>
        <w:tc>
          <w:tcPr>
            <w:tcW w:w="3105" w:type="dxa"/>
            <w:noWrap w:val="0"/>
            <w:vAlign w:val="center"/>
          </w:tcPr>
          <w:p w14:paraId="2673D12C">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安徽雷鸣安全技术咨询</w:t>
            </w:r>
          </w:p>
          <w:p w14:paraId="6153E6AC">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有限公司</w:t>
            </w:r>
          </w:p>
        </w:tc>
      </w:tr>
      <w:tr w14:paraId="57BF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2F9C0419">
            <w:pPr>
              <w:spacing w:line="2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p>
        </w:tc>
        <w:tc>
          <w:tcPr>
            <w:tcW w:w="992" w:type="dxa"/>
            <w:noWrap w:val="0"/>
            <w:vAlign w:val="center"/>
          </w:tcPr>
          <w:p w14:paraId="5BB5FE83">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谢辉</w:t>
            </w:r>
          </w:p>
        </w:tc>
        <w:tc>
          <w:tcPr>
            <w:tcW w:w="1441" w:type="dxa"/>
            <w:noWrap w:val="0"/>
            <w:vAlign w:val="center"/>
          </w:tcPr>
          <w:p w14:paraId="3299376B">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高级工程师</w:t>
            </w:r>
          </w:p>
        </w:tc>
        <w:tc>
          <w:tcPr>
            <w:tcW w:w="1650" w:type="dxa"/>
            <w:noWrap w:val="0"/>
            <w:vAlign w:val="center"/>
          </w:tcPr>
          <w:p w14:paraId="348CACC8">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化工安全</w:t>
            </w:r>
          </w:p>
        </w:tc>
        <w:tc>
          <w:tcPr>
            <w:tcW w:w="3105" w:type="dxa"/>
            <w:noWrap w:val="0"/>
            <w:vAlign w:val="center"/>
          </w:tcPr>
          <w:p w14:paraId="59960031">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临涣焦化股份有限公司</w:t>
            </w:r>
          </w:p>
        </w:tc>
      </w:tr>
      <w:tr w14:paraId="5310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699B70BE">
            <w:pPr>
              <w:spacing w:line="2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p>
        </w:tc>
        <w:tc>
          <w:tcPr>
            <w:tcW w:w="992" w:type="dxa"/>
            <w:noWrap w:val="0"/>
            <w:vAlign w:val="center"/>
          </w:tcPr>
          <w:p w14:paraId="12107C48">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段百军</w:t>
            </w:r>
          </w:p>
        </w:tc>
        <w:tc>
          <w:tcPr>
            <w:tcW w:w="1441" w:type="dxa"/>
            <w:noWrap w:val="0"/>
            <w:vAlign w:val="center"/>
          </w:tcPr>
          <w:p w14:paraId="20455A30">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高级工程师</w:t>
            </w:r>
          </w:p>
        </w:tc>
        <w:tc>
          <w:tcPr>
            <w:tcW w:w="1650" w:type="dxa"/>
            <w:noWrap w:val="0"/>
            <w:vAlign w:val="center"/>
          </w:tcPr>
          <w:p w14:paraId="1DBF812B">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化工工业</w:t>
            </w:r>
          </w:p>
        </w:tc>
        <w:tc>
          <w:tcPr>
            <w:tcW w:w="3105" w:type="dxa"/>
            <w:noWrap w:val="0"/>
            <w:vAlign w:val="center"/>
          </w:tcPr>
          <w:p w14:paraId="790C507B">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安徽奥瑞化工有限公司</w:t>
            </w:r>
          </w:p>
        </w:tc>
      </w:tr>
      <w:tr w14:paraId="094C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666ADA77">
            <w:pPr>
              <w:spacing w:line="2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992" w:type="dxa"/>
            <w:noWrap w:val="0"/>
            <w:vAlign w:val="center"/>
          </w:tcPr>
          <w:p w14:paraId="379C59B4">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张海风</w:t>
            </w:r>
          </w:p>
        </w:tc>
        <w:tc>
          <w:tcPr>
            <w:tcW w:w="1441" w:type="dxa"/>
            <w:noWrap w:val="0"/>
            <w:vAlign w:val="center"/>
          </w:tcPr>
          <w:p w14:paraId="3EE5CFF6">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高级工程师</w:t>
            </w:r>
          </w:p>
        </w:tc>
        <w:tc>
          <w:tcPr>
            <w:tcW w:w="1650" w:type="dxa"/>
            <w:noWrap w:val="0"/>
            <w:vAlign w:val="center"/>
          </w:tcPr>
          <w:p w14:paraId="3C7A948F">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化工</w:t>
            </w:r>
          </w:p>
        </w:tc>
        <w:tc>
          <w:tcPr>
            <w:tcW w:w="3105" w:type="dxa"/>
            <w:noWrap w:val="0"/>
            <w:vAlign w:val="center"/>
          </w:tcPr>
          <w:p w14:paraId="69A9547F">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淮北焦化厂</w:t>
            </w:r>
          </w:p>
        </w:tc>
      </w:tr>
      <w:tr w14:paraId="266D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7C901C28">
            <w:pPr>
              <w:spacing w:line="2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992" w:type="dxa"/>
            <w:noWrap w:val="0"/>
            <w:vAlign w:val="center"/>
          </w:tcPr>
          <w:p w14:paraId="12420DF5">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张书华</w:t>
            </w:r>
          </w:p>
        </w:tc>
        <w:tc>
          <w:tcPr>
            <w:tcW w:w="1441" w:type="dxa"/>
            <w:noWrap w:val="0"/>
            <w:vAlign w:val="center"/>
          </w:tcPr>
          <w:p w14:paraId="39469648">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高级工程师</w:t>
            </w:r>
          </w:p>
        </w:tc>
        <w:tc>
          <w:tcPr>
            <w:tcW w:w="1650" w:type="dxa"/>
            <w:noWrap w:val="0"/>
            <w:vAlign w:val="center"/>
          </w:tcPr>
          <w:p w14:paraId="2BD4BD82">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化工</w:t>
            </w:r>
          </w:p>
        </w:tc>
        <w:tc>
          <w:tcPr>
            <w:tcW w:w="3105" w:type="dxa"/>
            <w:noWrap w:val="0"/>
            <w:vAlign w:val="center"/>
          </w:tcPr>
          <w:p w14:paraId="4B73B513">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安徽省百舸实业有限公司</w:t>
            </w:r>
          </w:p>
        </w:tc>
      </w:tr>
      <w:tr w14:paraId="40DB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0C1D46C2">
            <w:pPr>
              <w:spacing w:line="2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w:t>
            </w:r>
          </w:p>
        </w:tc>
        <w:tc>
          <w:tcPr>
            <w:tcW w:w="992" w:type="dxa"/>
            <w:noWrap w:val="0"/>
            <w:vAlign w:val="center"/>
          </w:tcPr>
          <w:p w14:paraId="07C12540">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朱益民</w:t>
            </w:r>
          </w:p>
        </w:tc>
        <w:tc>
          <w:tcPr>
            <w:tcW w:w="1441" w:type="dxa"/>
            <w:noWrap w:val="0"/>
            <w:vAlign w:val="center"/>
          </w:tcPr>
          <w:p w14:paraId="02B5E792">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高级工程师</w:t>
            </w:r>
          </w:p>
        </w:tc>
        <w:tc>
          <w:tcPr>
            <w:tcW w:w="1650" w:type="dxa"/>
            <w:noWrap w:val="0"/>
            <w:vAlign w:val="center"/>
          </w:tcPr>
          <w:p w14:paraId="190FB630">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化工</w:t>
            </w:r>
          </w:p>
        </w:tc>
        <w:tc>
          <w:tcPr>
            <w:tcW w:w="3105" w:type="dxa"/>
            <w:noWrap w:val="0"/>
            <w:vAlign w:val="center"/>
          </w:tcPr>
          <w:p w14:paraId="7D070A80">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安徽江泰新材料科技</w:t>
            </w:r>
          </w:p>
          <w:p w14:paraId="6DCA017C">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有限公司</w:t>
            </w:r>
          </w:p>
        </w:tc>
      </w:tr>
      <w:tr w14:paraId="655C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5D127732">
            <w:pPr>
              <w:spacing w:line="2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w:t>
            </w:r>
          </w:p>
        </w:tc>
        <w:tc>
          <w:tcPr>
            <w:tcW w:w="992" w:type="dxa"/>
            <w:noWrap w:val="0"/>
            <w:vAlign w:val="center"/>
          </w:tcPr>
          <w:p w14:paraId="517CFF28">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孟浩</w:t>
            </w:r>
          </w:p>
        </w:tc>
        <w:tc>
          <w:tcPr>
            <w:tcW w:w="1441" w:type="dxa"/>
            <w:noWrap w:val="0"/>
            <w:vAlign w:val="center"/>
          </w:tcPr>
          <w:p w14:paraId="55907D7C">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高级工程师</w:t>
            </w:r>
          </w:p>
        </w:tc>
        <w:tc>
          <w:tcPr>
            <w:tcW w:w="1650" w:type="dxa"/>
            <w:noWrap w:val="0"/>
            <w:vAlign w:val="center"/>
          </w:tcPr>
          <w:p w14:paraId="4856B77E">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特种设备检验与管理</w:t>
            </w:r>
          </w:p>
        </w:tc>
        <w:tc>
          <w:tcPr>
            <w:tcW w:w="3105" w:type="dxa"/>
            <w:noWrap w:val="0"/>
            <w:vAlign w:val="center"/>
          </w:tcPr>
          <w:p w14:paraId="186C3491">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淮北市特种设备监督检测</w:t>
            </w:r>
          </w:p>
          <w:p w14:paraId="112D1D4E">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中心</w:t>
            </w:r>
          </w:p>
        </w:tc>
      </w:tr>
      <w:tr w14:paraId="0F08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7" w:type="dxa"/>
            <w:noWrap w:val="0"/>
            <w:vAlign w:val="center"/>
          </w:tcPr>
          <w:p w14:paraId="7D02EAFD">
            <w:pPr>
              <w:spacing w:line="26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w:t>
            </w:r>
          </w:p>
        </w:tc>
        <w:tc>
          <w:tcPr>
            <w:tcW w:w="992" w:type="dxa"/>
            <w:noWrap w:val="0"/>
            <w:vAlign w:val="center"/>
          </w:tcPr>
          <w:p w14:paraId="04AC79E8">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徐文清</w:t>
            </w:r>
          </w:p>
        </w:tc>
        <w:tc>
          <w:tcPr>
            <w:tcW w:w="1441" w:type="dxa"/>
            <w:noWrap w:val="0"/>
            <w:vAlign w:val="center"/>
          </w:tcPr>
          <w:p w14:paraId="31DEC290">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高级工程师</w:t>
            </w:r>
          </w:p>
        </w:tc>
        <w:tc>
          <w:tcPr>
            <w:tcW w:w="1650" w:type="dxa"/>
            <w:noWrap w:val="0"/>
            <w:vAlign w:val="center"/>
          </w:tcPr>
          <w:p w14:paraId="6226C231">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特种设备检验与管理</w:t>
            </w:r>
          </w:p>
        </w:tc>
        <w:tc>
          <w:tcPr>
            <w:tcW w:w="3105" w:type="dxa"/>
            <w:noWrap w:val="0"/>
            <w:vAlign w:val="center"/>
          </w:tcPr>
          <w:p w14:paraId="03ACB652">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淮北市特种设备监督检测</w:t>
            </w:r>
          </w:p>
          <w:p w14:paraId="74D125D1">
            <w:pPr>
              <w:spacing w:line="260" w:lineRule="exact"/>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中心</w:t>
            </w:r>
          </w:p>
        </w:tc>
      </w:tr>
    </w:tbl>
    <w:p w14:paraId="566B04BB">
      <w:pPr>
        <w:pStyle w:val="12"/>
        <w:ind w:left="0" w:leftChars="0" w:firstLine="0" w:firstLineChars="0"/>
        <w:rPr>
          <w:rFonts w:hint="default" w:hAnsi="仿宋_GB2312" w:cs="仿宋_GB2312"/>
          <w:color w:val="000000"/>
          <w:kern w:val="0"/>
          <w:sz w:val="32"/>
          <w:szCs w:val="32"/>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CEF0E56">
      <w:pPr>
        <w:pStyle w:val="12"/>
        <w:ind w:left="0" w:leftChars="0" w:firstLine="0" w:firstLineChars="0"/>
        <w:jc w:val="center"/>
        <w:outlineLvl w:val="9"/>
        <w:rPr>
          <w:rFonts w:hint="default" w:hAnsi="仿宋_GB2312" w:cs="仿宋_GB2312"/>
          <w:color w:val="000000"/>
          <w:kern w:val="0"/>
          <w:sz w:val="32"/>
          <w:szCs w:val="32"/>
          <w:lang w:val="en-US" w:eastAsia="zh-CN" w:bidi="ar"/>
        </w:rPr>
      </w:pPr>
      <w:r>
        <w:rPr>
          <w:rFonts w:hint="eastAsia" w:ascii="楷体" w:hAnsi="楷体" w:eastAsia="楷体" w:cs="楷体"/>
          <w:b/>
          <w:bCs/>
          <w:spacing w:val="8"/>
          <w:kern w:val="2"/>
          <w:sz w:val="32"/>
          <w:szCs w:val="32"/>
          <w:lang w:val="en-US" w:eastAsia="zh-CN" w:bidi="ar-SA"/>
        </w:rPr>
        <w:t>附件4烈山区危险化学品事故应急处置工作流程图</w:t>
      </w:r>
      <w:r>
        <w:rPr>
          <w:rFonts w:hint="default" w:hAnsi="仿宋_GB2312" w:cs="仿宋_GB2312"/>
          <w:color w:val="000000"/>
          <w:kern w:val="0"/>
          <w:sz w:val="32"/>
          <w:szCs w:val="32"/>
          <w:lang w:val="en-US" w:eastAsia="zh-CN" w:bidi="ar"/>
        </w:rPr>
        <w:drawing>
          <wp:inline distT="0" distB="0" distL="114300" distR="114300">
            <wp:extent cx="5270500" cy="7763510"/>
            <wp:effectExtent l="0" t="0" r="0" b="0"/>
            <wp:docPr id="4" name="图片 4" descr="烈山区危险化学品事故应急处置工作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烈山区危险化学品事故应急处置工作流程图"/>
                    <pic:cNvPicPr>
                      <a:picLocks noChangeAspect="1"/>
                    </pic:cNvPicPr>
                  </pic:nvPicPr>
                  <pic:blipFill>
                    <a:blip r:embed="rId7"/>
                    <a:stretch>
                      <a:fillRect/>
                    </a:stretch>
                  </pic:blipFill>
                  <pic:spPr>
                    <a:xfrm>
                      <a:off x="0" y="0"/>
                      <a:ext cx="5270500" cy="7763510"/>
                    </a:xfrm>
                    <a:prstGeom prst="rect">
                      <a:avLst/>
                    </a:prstGeom>
                  </pic:spPr>
                </pic:pic>
              </a:graphicData>
            </a:graphic>
          </wp:inline>
        </w:drawing>
      </w:r>
    </w:p>
    <w:p w14:paraId="3020CEE3">
      <w:pPr>
        <w:rPr>
          <w:rFonts w:hint="default" w:hAnsi="仿宋_GB2312" w:cs="仿宋_GB2312"/>
          <w:color w:val="000000"/>
          <w:kern w:val="0"/>
          <w:sz w:val="32"/>
          <w:szCs w:val="32"/>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hAnsi="仿宋_GB2312" w:cs="仿宋_GB2312"/>
          <w:color w:val="000000"/>
          <w:kern w:val="0"/>
          <w:sz w:val="32"/>
          <w:szCs w:val="32"/>
          <w:lang w:val="en-US" w:eastAsia="zh-CN" w:bidi="ar"/>
        </w:rPr>
        <w:br w:type="page"/>
      </w:r>
    </w:p>
    <w:p w14:paraId="1A77C5ED">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6" w:lineRule="atLeast"/>
        <w:ind w:right="0" w:rightChars="0"/>
        <w:jc w:val="center"/>
        <w:outlineLvl w:val="9"/>
        <w:rPr>
          <w:rFonts w:hint="eastAsia" w:ascii="楷体" w:hAnsi="楷体" w:eastAsia="楷体" w:cs="楷体"/>
          <w:b/>
          <w:bCs/>
          <w:spacing w:val="8"/>
          <w:kern w:val="2"/>
          <w:sz w:val="32"/>
          <w:szCs w:val="32"/>
          <w:lang w:val="en-US" w:eastAsia="zh-CN" w:bidi="ar-SA"/>
        </w:rPr>
      </w:pPr>
      <w:r>
        <w:rPr>
          <w:rFonts w:hint="eastAsia" w:ascii="楷体" w:hAnsi="楷体" w:eastAsia="楷体" w:cs="楷体"/>
          <w:b/>
          <w:bCs/>
          <w:spacing w:val="8"/>
          <w:kern w:val="2"/>
          <w:sz w:val="32"/>
          <w:szCs w:val="32"/>
          <w:lang w:val="en-US" w:eastAsia="zh-CN" w:bidi="ar-SA"/>
        </w:rPr>
        <w:t>附件5烈山区构成重大危险源涉危企业</w:t>
      </w:r>
    </w:p>
    <w:tbl>
      <w:tblPr>
        <w:tblStyle w:val="14"/>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2550"/>
        <w:gridCol w:w="1913"/>
        <w:gridCol w:w="2062"/>
        <w:gridCol w:w="1650"/>
        <w:gridCol w:w="2000"/>
      </w:tblGrid>
      <w:tr w14:paraId="3459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5" w:type="dxa"/>
            <w:shd w:val="clear" w:color="auto" w:fill="auto"/>
            <w:vAlign w:val="center"/>
          </w:tcPr>
          <w:p w14:paraId="1D5C7BC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企业名称</w:t>
            </w:r>
          </w:p>
        </w:tc>
        <w:tc>
          <w:tcPr>
            <w:tcW w:w="2550" w:type="dxa"/>
            <w:shd w:val="clear" w:color="auto" w:fill="auto"/>
            <w:vAlign w:val="center"/>
          </w:tcPr>
          <w:p w14:paraId="38EB5B1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企业所在位置</w:t>
            </w:r>
          </w:p>
        </w:tc>
        <w:tc>
          <w:tcPr>
            <w:tcW w:w="1913" w:type="dxa"/>
            <w:shd w:val="clear" w:color="auto" w:fill="auto"/>
            <w:vAlign w:val="center"/>
          </w:tcPr>
          <w:p w14:paraId="4392113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危化品种类</w:t>
            </w:r>
          </w:p>
        </w:tc>
        <w:tc>
          <w:tcPr>
            <w:tcW w:w="2062" w:type="dxa"/>
            <w:shd w:val="clear" w:color="auto" w:fill="auto"/>
            <w:vAlign w:val="center"/>
          </w:tcPr>
          <w:p w14:paraId="02567F4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等级（个数）</w:t>
            </w:r>
          </w:p>
        </w:tc>
        <w:tc>
          <w:tcPr>
            <w:tcW w:w="1650" w:type="dxa"/>
            <w:shd w:val="clear" w:color="auto" w:fill="auto"/>
            <w:vAlign w:val="center"/>
          </w:tcPr>
          <w:p w14:paraId="5471F23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联系人</w:t>
            </w:r>
          </w:p>
        </w:tc>
        <w:tc>
          <w:tcPr>
            <w:tcW w:w="2000" w:type="dxa"/>
            <w:shd w:val="clear" w:color="auto" w:fill="auto"/>
            <w:vAlign w:val="center"/>
          </w:tcPr>
          <w:p w14:paraId="0BA530E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潜在危险</w:t>
            </w:r>
          </w:p>
        </w:tc>
      </w:tr>
      <w:tr w14:paraId="5B88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5" w:type="dxa"/>
            <w:shd w:val="clear" w:color="auto" w:fill="auto"/>
            <w:vAlign w:val="center"/>
          </w:tcPr>
          <w:p w14:paraId="32D502B5">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安徽宝迪肉类食品</w:t>
            </w:r>
          </w:p>
          <w:p w14:paraId="73A43A98">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有限公司</w:t>
            </w:r>
          </w:p>
        </w:tc>
        <w:tc>
          <w:tcPr>
            <w:tcW w:w="2550" w:type="dxa"/>
            <w:shd w:val="clear" w:color="auto" w:fill="auto"/>
            <w:vAlign w:val="center"/>
          </w:tcPr>
          <w:p w14:paraId="6DAF2705">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区经开区宝迪工业园</w:t>
            </w:r>
          </w:p>
        </w:tc>
        <w:tc>
          <w:tcPr>
            <w:tcW w:w="1913" w:type="dxa"/>
            <w:shd w:val="clear" w:color="auto" w:fill="auto"/>
            <w:vAlign w:val="center"/>
          </w:tcPr>
          <w:p w14:paraId="0622CCF4">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液氮</w:t>
            </w:r>
          </w:p>
        </w:tc>
        <w:tc>
          <w:tcPr>
            <w:tcW w:w="2062" w:type="dxa"/>
            <w:shd w:val="clear" w:color="auto" w:fill="auto"/>
            <w:vAlign w:val="center"/>
          </w:tcPr>
          <w:p w14:paraId="6B714195">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四级</w:t>
            </w:r>
          </w:p>
        </w:tc>
        <w:tc>
          <w:tcPr>
            <w:tcW w:w="1650" w:type="dxa"/>
            <w:shd w:val="clear" w:color="auto" w:fill="auto"/>
            <w:vAlign w:val="center"/>
          </w:tcPr>
          <w:p w14:paraId="487CF767">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任兴武</w:t>
            </w:r>
          </w:p>
        </w:tc>
        <w:tc>
          <w:tcPr>
            <w:tcW w:w="2000" w:type="dxa"/>
            <w:vAlign w:val="center"/>
          </w:tcPr>
          <w:p w14:paraId="7D72BD3A">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冻伤、爆炸和窒息</w:t>
            </w:r>
          </w:p>
        </w:tc>
      </w:tr>
      <w:tr w14:paraId="0697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5" w:type="dxa"/>
            <w:vAlign w:val="center"/>
          </w:tcPr>
          <w:p w14:paraId="1EDA418B">
            <w:pPr>
              <w:pStyle w:val="12"/>
              <w:ind w:left="0" w:leftChars="0" w:firstLine="0" w:firstLineChars="0"/>
              <w:jc w:val="center"/>
              <w:rPr>
                <w:rFonts w:hAnsi="仿宋_GB2312" w:cs="仿宋_GB2312"/>
                <w:color w:val="000000"/>
                <w:kern w:val="0"/>
                <w:szCs w:val="32"/>
              </w:rPr>
            </w:pPr>
          </w:p>
        </w:tc>
        <w:tc>
          <w:tcPr>
            <w:tcW w:w="2550" w:type="dxa"/>
            <w:vAlign w:val="center"/>
          </w:tcPr>
          <w:p w14:paraId="07448C60">
            <w:pPr>
              <w:pStyle w:val="12"/>
              <w:ind w:left="0" w:leftChars="0" w:firstLine="0" w:firstLineChars="0"/>
              <w:jc w:val="center"/>
              <w:rPr>
                <w:rFonts w:hAnsi="仿宋_GB2312" w:cs="仿宋_GB2312"/>
                <w:color w:val="000000"/>
                <w:kern w:val="0"/>
                <w:szCs w:val="32"/>
              </w:rPr>
            </w:pPr>
          </w:p>
        </w:tc>
        <w:tc>
          <w:tcPr>
            <w:tcW w:w="1913" w:type="dxa"/>
            <w:vAlign w:val="center"/>
          </w:tcPr>
          <w:p w14:paraId="4C41933D">
            <w:pPr>
              <w:pStyle w:val="12"/>
              <w:ind w:left="0" w:leftChars="0" w:firstLine="0" w:firstLineChars="0"/>
              <w:jc w:val="center"/>
              <w:rPr>
                <w:rFonts w:hAnsi="仿宋_GB2312" w:cs="仿宋_GB2312"/>
                <w:color w:val="000000"/>
                <w:kern w:val="0"/>
                <w:szCs w:val="32"/>
              </w:rPr>
            </w:pPr>
          </w:p>
        </w:tc>
        <w:tc>
          <w:tcPr>
            <w:tcW w:w="2062" w:type="dxa"/>
            <w:vAlign w:val="center"/>
          </w:tcPr>
          <w:p w14:paraId="153137DA">
            <w:pPr>
              <w:pStyle w:val="12"/>
              <w:ind w:left="0" w:leftChars="0" w:firstLine="0" w:firstLineChars="0"/>
              <w:jc w:val="center"/>
              <w:rPr>
                <w:rFonts w:hAnsi="仿宋_GB2312" w:cs="仿宋_GB2312"/>
                <w:color w:val="000000"/>
                <w:kern w:val="0"/>
                <w:szCs w:val="32"/>
              </w:rPr>
            </w:pPr>
          </w:p>
        </w:tc>
        <w:tc>
          <w:tcPr>
            <w:tcW w:w="1650" w:type="dxa"/>
            <w:vAlign w:val="center"/>
          </w:tcPr>
          <w:p w14:paraId="7BEAB0C4">
            <w:pPr>
              <w:pStyle w:val="12"/>
              <w:ind w:left="0" w:leftChars="0" w:firstLine="0" w:firstLineChars="0"/>
              <w:jc w:val="center"/>
              <w:rPr>
                <w:rFonts w:hAnsi="仿宋_GB2312" w:cs="仿宋_GB2312"/>
                <w:color w:val="000000"/>
                <w:kern w:val="0"/>
                <w:szCs w:val="32"/>
              </w:rPr>
            </w:pPr>
          </w:p>
        </w:tc>
        <w:tc>
          <w:tcPr>
            <w:tcW w:w="2000" w:type="dxa"/>
            <w:vAlign w:val="center"/>
          </w:tcPr>
          <w:p w14:paraId="2FA0B709">
            <w:pPr>
              <w:pStyle w:val="12"/>
              <w:ind w:left="0" w:leftChars="0" w:firstLine="0" w:firstLineChars="0"/>
              <w:jc w:val="center"/>
              <w:rPr>
                <w:rFonts w:hAnsi="仿宋_GB2312" w:cs="仿宋_GB2312"/>
                <w:color w:val="000000"/>
                <w:kern w:val="0"/>
                <w:szCs w:val="32"/>
              </w:rPr>
            </w:pPr>
          </w:p>
        </w:tc>
      </w:tr>
      <w:tr w14:paraId="03C8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5" w:type="dxa"/>
            <w:vAlign w:val="center"/>
          </w:tcPr>
          <w:p w14:paraId="485BC778">
            <w:pPr>
              <w:pStyle w:val="12"/>
              <w:ind w:left="0" w:leftChars="0" w:firstLine="0" w:firstLineChars="0"/>
              <w:jc w:val="center"/>
              <w:rPr>
                <w:rFonts w:hAnsi="仿宋_GB2312" w:cs="仿宋_GB2312"/>
                <w:color w:val="000000"/>
                <w:kern w:val="0"/>
                <w:szCs w:val="32"/>
              </w:rPr>
            </w:pPr>
          </w:p>
        </w:tc>
        <w:tc>
          <w:tcPr>
            <w:tcW w:w="2550" w:type="dxa"/>
            <w:vAlign w:val="center"/>
          </w:tcPr>
          <w:p w14:paraId="159365F0">
            <w:pPr>
              <w:pStyle w:val="12"/>
              <w:ind w:left="0" w:leftChars="0" w:firstLine="0" w:firstLineChars="0"/>
              <w:jc w:val="center"/>
              <w:rPr>
                <w:rFonts w:hAnsi="仿宋_GB2312" w:cs="仿宋_GB2312"/>
                <w:color w:val="000000"/>
                <w:kern w:val="0"/>
                <w:szCs w:val="32"/>
              </w:rPr>
            </w:pPr>
          </w:p>
        </w:tc>
        <w:tc>
          <w:tcPr>
            <w:tcW w:w="1913" w:type="dxa"/>
            <w:vAlign w:val="center"/>
          </w:tcPr>
          <w:p w14:paraId="5A167992">
            <w:pPr>
              <w:pStyle w:val="12"/>
              <w:ind w:left="0" w:leftChars="0" w:firstLine="0" w:firstLineChars="0"/>
              <w:jc w:val="center"/>
              <w:rPr>
                <w:rFonts w:hAnsi="仿宋_GB2312" w:cs="仿宋_GB2312"/>
                <w:color w:val="000000"/>
                <w:kern w:val="0"/>
                <w:szCs w:val="32"/>
              </w:rPr>
            </w:pPr>
          </w:p>
        </w:tc>
        <w:tc>
          <w:tcPr>
            <w:tcW w:w="2062" w:type="dxa"/>
            <w:vAlign w:val="center"/>
          </w:tcPr>
          <w:p w14:paraId="26F328CB">
            <w:pPr>
              <w:pStyle w:val="12"/>
              <w:ind w:left="0" w:leftChars="0" w:firstLine="0" w:firstLineChars="0"/>
              <w:jc w:val="center"/>
              <w:rPr>
                <w:rFonts w:hAnsi="仿宋_GB2312" w:cs="仿宋_GB2312"/>
                <w:color w:val="000000"/>
                <w:kern w:val="0"/>
                <w:szCs w:val="32"/>
              </w:rPr>
            </w:pPr>
          </w:p>
        </w:tc>
        <w:tc>
          <w:tcPr>
            <w:tcW w:w="1650" w:type="dxa"/>
            <w:vAlign w:val="center"/>
          </w:tcPr>
          <w:p w14:paraId="25EB3A54">
            <w:pPr>
              <w:pStyle w:val="12"/>
              <w:ind w:left="0" w:leftChars="0" w:firstLine="0" w:firstLineChars="0"/>
              <w:jc w:val="center"/>
              <w:rPr>
                <w:rFonts w:hAnsi="仿宋_GB2312" w:cs="仿宋_GB2312"/>
                <w:color w:val="000000"/>
                <w:kern w:val="0"/>
                <w:szCs w:val="32"/>
              </w:rPr>
            </w:pPr>
          </w:p>
        </w:tc>
        <w:tc>
          <w:tcPr>
            <w:tcW w:w="2000" w:type="dxa"/>
            <w:vAlign w:val="center"/>
          </w:tcPr>
          <w:p w14:paraId="437CC70D">
            <w:pPr>
              <w:pStyle w:val="12"/>
              <w:ind w:left="0" w:leftChars="0" w:firstLine="0" w:firstLineChars="0"/>
              <w:jc w:val="center"/>
              <w:rPr>
                <w:rFonts w:hAnsi="仿宋_GB2312" w:cs="仿宋_GB2312"/>
                <w:color w:val="000000"/>
                <w:kern w:val="0"/>
                <w:szCs w:val="32"/>
              </w:rPr>
            </w:pPr>
          </w:p>
        </w:tc>
      </w:tr>
      <w:tr w14:paraId="3B96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5" w:type="dxa"/>
            <w:vAlign w:val="center"/>
          </w:tcPr>
          <w:p w14:paraId="56600F39">
            <w:pPr>
              <w:pStyle w:val="12"/>
              <w:ind w:left="0" w:leftChars="0" w:firstLine="0" w:firstLineChars="0"/>
              <w:jc w:val="center"/>
              <w:rPr>
                <w:rFonts w:hAnsi="仿宋_GB2312" w:cs="仿宋_GB2312"/>
                <w:color w:val="000000"/>
                <w:kern w:val="0"/>
                <w:szCs w:val="32"/>
              </w:rPr>
            </w:pPr>
          </w:p>
        </w:tc>
        <w:tc>
          <w:tcPr>
            <w:tcW w:w="2550" w:type="dxa"/>
            <w:vAlign w:val="center"/>
          </w:tcPr>
          <w:p w14:paraId="7CAB5A28">
            <w:pPr>
              <w:pStyle w:val="12"/>
              <w:ind w:left="0" w:leftChars="0" w:firstLine="0" w:firstLineChars="0"/>
              <w:jc w:val="center"/>
              <w:rPr>
                <w:rFonts w:hAnsi="仿宋_GB2312" w:cs="仿宋_GB2312"/>
                <w:color w:val="000000"/>
                <w:kern w:val="0"/>
                <w:szCs w:val="32"/>
              </w:rPr>
            </w:pPr>
          </w:p>
        </w:tc>
        <w:tc>
          <w:tcPr>
            <w:tcW w:w="1913" w:type="dxa"/>
            <w:vAlign w:val="center"/>
          </w:tcPr>
          <w:p w14:paraId="752848D8">
            <w:pPr>
              <w:pStyle w:val="12"/>
              <w:ind w:left="0" w:leftChars="0" w:firstLine="0" w:firstLineChars="0"/>
              <w:jc w:val="center"/>
              <w:rPr>
                <w:rFonts w:hAnsi="仿宋_GB2312" w:cs="仿宋_GB2312"/>
                <w:color w:val="000000"/>
                <w:kern w:val="0"/>
                <w:szCs w:val="32"/>
              </w:rPr>
            </w:pPr>
          </w:p>
        </w:tc>
        <w:tc>
          <w:tcPr>
            <w:tcW w:w="2062" w:type="dxa"/>
            <w:vAlign w:val="center"/>
          </w:tcPr>
          <w:p w14:paraId="616A27BF">
            <w:pPr>
              <w:pStyle w:val="12"/>
              <w:ind w:left="0" w:leftChars="0" w:firstLine="0" w:firstLineChars="0"/>
              <w:jc w:val="center"/>
              <w:rPr>
                <w:rFonts w:hAnsi="仿宋_GB2312" w:cs="仿宋_GB2312"/>
                <w:color w:val="000000"/>
                <w:kern w:val="0"/>
                <w:szCs w:val="32"/>
              </w:rPr>
            </w:pPr>
          </w:p>
        </w:tc>
        <w:tc>
          <w:tcPr>
            <w:tcW w:w="1650" w:type="dxa"/>
            <w:vAlign w:val="center"/>
          </w:tcPr>
          <w:p w14:paraId="58F380FC">
            <w:pPr>
              <w:pStyle w:val="12"/>
              <w:ind w:left="0" w:leftChars="0" w:firstLine="0" w:firstLineChars="0"/>
              <w:jc w:val="center"/>
              <w:rPr>
                <w:rFonts w:hAnsi="仿宋_GB2312" w:cs="仿宋_GB2312"/>
                <w:color w:val="000000"/>
                <w:kern w:val="0"/>
                <w:szCs w:val="32"/>
              </w:rPr>
            </w:pPr>
          </w:p>
        </w:tc>
        <w:tc>
          <w:tcPr>
            <w:tcW w:w="2000" w:type="dxa"/>
            <w:vAlign w:val="center"/>
          </w:tcPr>
          <w:p w14:paraId="3B76A641">
            <w:pPr>
              <w:pStyle w:val="12"/>
              <w:ind w:left="0" w:leftChars="0" w:firstLine="0" w:firstLineChars="0"/>
              <w:jc w:val="center"/>
              <w:rPr>
                <w:rFonts w:hAnsi="仿宋_GB2312" w:cs="仿宋_GB2312"/>
                <w:color w:val="000000"/>
                <w:kern w:val="0"/>
                <w:szCs w:val="32"/>
              </w:rPr>
            </w:pPr>
          </w:p>
        </w:tc>
      </w:tr>
      <w:tr w14:paraId="69BC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5" w:type="dxa"/>
            <w:vAlign w:val="center"/>
          </w:tcPr>
          <w:p w14:paraId="0039D2B9">
            <w:pPr>
              <w:pStyle w:val="12"/>
              <w:ind w:left="0" w:leftChars="0" w:firstLine="0" w:firstLineChars="0"/>
              <w:jc w:val="center"/>
              <w:rPr>
                <w:rFonts w:hAnsi="仿宋_GB2312" w:cs="仿宋_GB2312"/>
                <w:color w:val="000000"/>
                <w:kern w:val="0"/>
                <w:szCs w:val="32"/>
              </w:rPr>
            </w:pPr>
          </w:p>
        </w:tc>
        <w:tc>
          <w:tcPr>
            <w:tcW w:w="2550" w:type="dxa"/>
            <w:vAlign w:val="center"/>
          </w:tcPr>
          <w:p w14:paraId="1D47908B">
            <w:pPr>
              <w:pStyle w:val="12"/>
              <w:ind w:left="0" w:leftChars="0" w:firstLine="0" w:firstLineChars="0"/>
              <w:jc w:val="center"/>
              <w:rPr>
                <w:rFonts w:hAnsi="仿宋_GB2312" w:cs="仿宋_GB2312"/>
                <w:color w:val="000000"/>
                <w:kern w:val="0"/>
                <w:szCs w:val="32"/>
              </w:rPr>
            </w:pPr>
          </w:p>
        </w:tc>
        <w:tc>
          <w:tcPr>
            <w:tcW w:w="1913" w:type="dxa"/>
            <w:vAlign w:val="center"/>
          </w:tcPr>
          <w:p w14:paraId="0094A1D8">
            <w:pPr>
              <w:pStyle w:val="12"/>
              <w:ind w:left="0" w:leftChars="0" w:firstLine="0" w:firstLineChars="0"/>
              <w:jc w:val="center"/>
              <w:rPr>
                <w:rFonts w:hAnsi="仿宋_GB2312" w:cs="仿宋_GB2312"/>
                <w:color w:val="000000"/>
                <w:kern w:val="0"/>
                <w:szCs w:val="32"/>
              </w:rPr>
            </w:pPr>
          </w:p>
        </w:tc>
        <w:tc>
          <w:tcPr>
            <w:tcW w:w="2062" w:type="dxa"/>
            <w:vAlign w:val="center"/>
          </w:tcPr>
          <w:p w14:paraId="57F9EC41">
            <w:pPr>
              <w:pStyle w:val="12"/>
              <w:ind w:left="0" w:leftChars="0" w:firstLine="0" w:firstLineChars="0"/>
              <w:jc w:val="center"/>
              <w:rPr>
                <w:rFonts w:hAnsi="仿宋_GB2312" w:cs="仿宋_GB2312"/>
                <w:color w:val="000000"/>
                <w:kern w:val="0"/>
                <w:szCs w:val="32"/>
              </w:rPr>
            </w:pPr>
          </w:p>
        </w:tc>
        <w:tc>
          <w:tcPr>
            <w:tcW w:w="1650" w:type="dxa"/>
            <w:vAlign w:val="center"/>
          </w:tcPr>
          <w:p w14:paraId="552A141D">
            <w:pPr>
              <w:pStyle w:val="12"/>
              <w:ind w:left="0" w:leftChars="0" w:firstLine="0" w:firstLineChars="0"/>
              <w:jc w:val="center"/>
              <w:rPr>
                <w:rFonts w:hAnsi="仿宋_GB2312" w:cs="仿宋_GB2312"/>
                <w:color w:val="000000"/>
                <w:kern w:val="0"/>
                <w:szCs w:val="32"/>
              </w:rPr>
            </w:pPr>
          </w:p>
        </w:tc>
        <w:tc>
          <w:tcPr>
            <w:tcW w:w="2000" w:type="dxa"/>
            <w:vAlign w:val="center"/>
          </w:tcPr>
          <w:p w14:paraId="1310A63E">
            <w:pPr>
              <w:pStyle w:val="12"/>
              <w:ind w:left="0" w:leftChars="0" w:firstLine="0" w:firstLineChars="0"/>
              <w:jc w:val="center"/>
              <w:rPr>
                <w:rFonts w:hAnsi="仿宋_GB2312" w:cs="仿宋_GB2312"/>
                <w:color w:val="000000"/>
                <w:kern w:val="0"/>
                <w:szCs w:val="32"/>
              </w:rPr>
            </w:pPr>
          </w:p>
        </w:tc>
      </w:tr>
      <w:tr w14:paraId="66D8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5" w:type="dxa"/>
            <w:vAlign w:val="center"/>
          </w:tcPr>
          <w:p w14:paraId="25AE36F9">
            <w:pPr>
              <w:pStyle w:val="12"/>
              <w:ind w:left="0" w:leftChars="0" w:firstLine="0" w:firstLineChars="0"/>
              <w:jc w:val="center"/>
              <w:rPr>
                <w:rFonts w:hAnsi="仿宋_GB2312" w:cs="仿宋_GB2312"/>
                <w:color w:val="000000"/>
                <w:kern w:val="0"/>
                <w:szCs w:val="32"/>
              </w:rPr>
            </w:pPr>
          </w:p>
        </w:tc>
        <w:tc>
          <w:tcPr>
            <w:tcW w:w="2550" w:type="dxa"/>
            <w:vAlign w:val="center"/>
          </w:tcPr>
          <w:p w14:paraId="043045B4">
            <w:pPr>
              <w:pStyle w:val="12"/>
              <w:ind w:left="0" w:leftChars="0" w:firstLine="0" w:firstLineChars="0"/>
              <w:jc w:val="center"/>
              <w:rPr>
                <w:rFonts w:hAnsi="仿宋_GB2312" w:cs="仿宋_GB2312"/>
                <w:color w:val="000000"/>
                <w:kern w:val="0"/>
                <w:szCs w:val="32"/>
              </w:rPr>
            </w:pPr>
          </w:p>
        </w:tc>
        <w:tc>
          <w:tcPr>
            <w:tcW w:w="1913" w:type="dxa"/>
            <w:vAlign w:val="center"/>
          </w:tcPr>
          <w:p w14:paraId="4F09E7F2">
            <w:pPr>
              <w:pStyle w:val="12"/>
              <w:ind w:left="0" w:leftChars="0" w:firstLine="0" w:firstLineChars="0"/>
              <w:jc w:val="center"/>
              <w:rPr>
                <w:rFonts w:hAnsi="仿宋_GB2312" w:cs="仿宋_GB2312"/>
                <w:color w:val="000000"/>
                <w:kern w:val="0"/>
                <w:szCs w:val="32"/>
              </w:rPr>
            </w:pPr>
          </w:p>
        </w:tc>
        <w:tc>
          <w:tcPr>
            <w:tcW w:w="2062" w:type="dxa"/>
            <w:vAlign w:val="center"/>
          </w:tcPr>
          <w:p w14:paraId="1A7DF58F">
            <w:pPr>
              <w:pStyle w:val="12"/>
              <w:ind w:left="0" w:leftChars="0" w:firstLine="0" w:firstLineChars="0"/>
              <w:jc w:val="center"/>
              <w:rPr>
                <w:rFonts w:hAnsi="仿宋_GB2312" w:cs="仿宋_GB2312"/>
                <w:color w:val="000000"/>
                <w:kern w:val="0"/>
                <w:szCs w:val="32"/>
              </w:rPr>
            </w:pPr>
          </w:p>
        </w:tc>
        <w:tc>
          <w:tcPr>
            <w:tcW w:w="1650" w:type="dxa"/>
            <w:vAlign w:val="center"/>
          </w:tcPr>
          <w:p w14:paraId="452CA8C3">
            <w:pPr>
              <w:pStyle w:val="12"/>
              <w:ind w:left="0" w:leftChars="0" w:firstLine="0" w:firstLineChars="0"/>
              <w:jc w:val="center"/>
              <w:rPr>
                <w:rFonts w:hAnsi="仿宋_GB2312" w:cs="仿宋_GB2312"/>
                <w:color w:val="000000"/>
                <w:kern w:val="0"/>
                <w:szCs w:val="32"/>
              </w:rPr>
            </w:pPr>
          </w:p>
        </w:tc>
        <w:tc>
          <w:tcPr>
            <w:tcW w:w="2000" w:type="dxa"/>
            <w:vAlign w:val="center"/>
          </w:tcPr>
          <w:p w14:paraId="0FCBB2DC">
            <w:pPr>
              <w:pStyle w:val="12"/>
              <w:ind w:left="0" w:leftChars="0" w:firstLine="0" w:firstLineChars="0"/>
              <w:jc w:val="center"/>
              <w:rPr>
                <w:rFonts w:hAnsi="仿宋_GB2312" w:cs="仿宋_GB2312"/>
                <w:color w:val="000000"/>
                <w:kern w:val="0"/>
                <w:szCs w:val="32"/>
              </w:rPr>
            </w:pPr>
          </w:p>
        </w:tc>
      </w:tr>
      <w:tr w14:paraId="5AE8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25" w:type="dxa"/>
            <w:vAlign w:val="center"/>
          </w:tcPr>
          <w:p w14:paraId="6B81F1A1">
            <w:pPr>
              <w:pStyle w:val="12"/>
              <w:ind w:left="0" w:leftChars="0" w:firstLine="0" w:firstLineChars="0"/>
              <w:jc w:val="center"/>
              <w:rPr>
                <w:rFonts w:hAnsi="仿宋_GB2312" w:cs="仿宋_GB2312"/>
                <w:color w:val="000000"/>
                <w:kern w:val="0"/>
                <w:szCs w:val="32"/>
              </w:rPr>
            </w:pPr>
          </w:p>
        </w:tc>
        <w:tc>
          <w:tcPr>
            <w:tcW w:w="2550" w:type="dxa"/>
            <w:vAlign w:val="center"/>
          </w:tcPr>
          <w:p w14:paraId="7BA3FF5E">
            <w:pPr>
              <w:pStyle w:val="12"/>
              <w:ind w:left="0" w:leftChars="0" w:firstLine="0" w:firstLineChars="0"/>
              <w:jc w:val="center"/>
              <w:rPr>
                <w:rFonts w:hAnsi="仿宋_GB2312" w:cs="仿宋_GB2312"/>
                <w:color w:val="000000"/>
                <w:kern w:val="0"/>
                <w:szCs w:val="32"/>
              </w:rPr>
            </w:pPr>
          </w:p>
        </w:tc>
        <w:tc>
          <w:tcPr>
            <w:tcW w:w="1913" w:type="dxa"/>
            <w:vAlign w:val="center"/>
          </w:tcPr>
          <w:p w14:paraId="3053D8D0">
            <w:pPr>
              <w:pStyle w:val="12"/>
              <w:ind w:left="0" w:leftChars="0" w:firstLine="0" w:firstLineChars="0"/>
              <w:jc w:val="center"/>
              <w:rPr>
                <w:rFonts w:hAnsi="仿宋_GB2312" w:cs="仿宋_GB2312"/>
                <w:color w:val="000000"/>
                <w:kern w:val="0"/>
                <w:szCs w:val="32"/>
              </w:rPr>
            </w:pPr>
          </w:p>
        </w:tc>
        <w:tc>
          <w:tcPr>
            <w:tcW w:w="2062" w:type="dxa"/>
            <w:vAlign w:val="center"/>
          </w:tcPr>
          <w:p w14:paraId="45A18E64">
            <w:pPr>
              <w:pStyle w:val="12"/>
              <w:ind w:left="0" w:leftChars="0" w:firstLine="0" w:firstLineChars="0"/>
              <w:jc w:val="center"/>
              <w:rPr>
                <w:rFonts w:hAnsi="仿宋_GB2312" w:cs="仿宋_GB2312"/>
                <w:color w:val="000000"/>
                <w:kern w:val="0"/>
                <w:szCs w:val="32"/>
              </w:rPr>
            </w:pPr>
          </w:p>
        </w:tc>
        <w:tc>
          <w:tcPr>
            <w:tcW w:w="1650" w:type="dxa"/>
            <w:vAlign w:val="center"/>
          </w:tcPr>
          <w:p w14:paraId="010A0124">
            <w:pPr>
              <w:pStyle w:val="12"/>
              <w:ind w:left="0" w:leftChars="0" w:firstLine="0" w:firstLineChars="0"/>
              <w:jc w:val="center"/>
              <w:rPr>
                <w:rFonts w:hAnsi="仿宋_GB2312" w:cs="仿宋_GB2312"/>
                <w:color w:val="000000"/>
                <w:kern w:val="0"/>
                <w:szCs w:val="32"/>
              </w:rPr>
            </w:pPr>
          </w:p>
        </w:tc>
        <w:tc>
          <w:tcPr>
            <w:tcW w:w="2000" w:type="dxa"/>
            <w:vAlign w:val="center"/>
          </w:tcPr>
          <w:p w14:paraId="0C94C707">
            <w:pPr>
              <w:pStyle w:val="12"/>
              <w:ind w:left="0" w:leftChars="0" w:firstLine="0" w:firstLineChars="0"/>
              <w:jc w:val="center"/>
              <w:rPr>
                <w:rFonts w:hAnsi="仿宋_GB2312" w:cs="仿宋_GB2312"/>
                <w:color w:val="000000"/>
                <w:kern w:val="0"/>
                <w:szCs w:val="32"/>
              </w:rPr>
            </w:pPr>
          </w:p>
        </w:tc>
      </w:tr>
    </w:tbl>
    <w:p w14:paraId="02400A77">
      <w:pPr>
        <w:pStyle w:val="1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7DA262B7">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56" w:lineRule="atLeast"/>
        <w:ind w:right="0" w:rightChars="0"/>
        <w:jc w:val="center"/>
        <w:outlineLvl w:val="9"/>
        <w:rPr>
          <w:rFonts w:hint="eastAsia" w:ascii="楷体" w:hAnsi="楷体" w:eastAsia="楷体" w:cs="楷体"/>
          <w:b/>
          <w:bCs/>
          <w:spacing w:val="8"/>
          <w:kern w:val="2"/>
          <w:sz w:val="32"/>
          <w:szCs w:val="32"/>
          <w:lang w:val="en-US" w:eastAsia="zh-CN" w:bidi="ar-SA"/>
        </w:rPr>
      </w:pPr>
      <w:r>
        <w:rPr>
          <w:rFonts w:hint="eastAsia" w:ascii="楷体" w:hAnsi="楷体" w:eastAsia="楷体" w:cs="楷体"/>
          <w:b/>
          <w:bCs/>
          <w:spacing w:val="8"/>
          <w:kern w:val="2"/>
          <w:sz w:val="32"/>
          <w:szCs w:val="32"/>
          <w:lang w:val="en-US" w:eastAsia="zh-CN" w:bidi="ar-SA"/>
        </w:rPr>
        <w:t>附件6烈山区涉及危险化学品企业</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2475"/>
        <w:gridCol w:w="2650"/>
        <w:gridCol w:w="1911"/>
        <w:gridCol w:w="1250"/>
        <w:gridCol w:w="2040"/>
      </w:tblGrid>
      <w:tr w14:paraId="2134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150" w:type="dxa"/>
            <w:shd w:val="clear" w:color="auto" w:fill="auto"/>
            <w:vAlign w:val="center"/>
          </w:tcPr>
          <w:p w14:paraId="13283D4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rPr>
              <w:t>企业名称</w:t>
            </w:r>
          </w:p>
        </w:tc>
        <w:tc>
          <w:tcPr>
            <w:tcW w:w="2475" w:type="dxa"/>
            <w:shd w:val="clear" w:color="auto" w:fill="auto"/>
            <w:vAlign w:val="center"/>
          </w:tcPr>
          <w:p w14:paraId="3DE72BD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rPr>
              <w:t>企业所在位置</w:t>
            </w:r>
          </w:p>
        </w:tc>
        <w:tc>
          <w:tcPr>
            <w:tcW w:w="2650" w:type="dxa"/>
            <w:shd w:val="clear" w:color="auto" w:fill="auto"/>
            <w:vAlign w:val="center"/>
          </w:tcPr>
          <w:p w14:paraId="401E7F8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rPr>
              <w:t>危化品种类</w:t>
            </w:r>
          </w:p>
        </w:tc>
        <w:tc>
          <w:tcPr>
            <w:tcW w:w="1911" w:type="dxa"/>
            <w:shd w:val="clear" w:color="auto" w:fill="auto"/>
            <w:vAlign w:val="center"/>
          </w:tcPr>
          <w:p w14:paraId="15FFE19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rPr>
              <w:t>等级（个数）</w:t>
            </w:r>
          </w:p>
        </w:tc>
        <w:tc>
          <w:tcPr>
            <w:tcW w:w="1250" w:type="dxa"/>
            <w:shd w:val="clear" w:color="auto" w:fill="auto"/>
            <w:vAlign w:val="center"/>
          </w:tcPr>
          <w:p w14:paraId="59ED262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黑体" w:hAnsi="黑体" w:eastAsia="黑体" w:cs="宋体"/>
                <w:color w:val="000000"/>
                <w:kern w:val="0"/>
                <w:sz w:val="24"/>
                <w:szCs w:val="24"/>
                <w:lang w:val="en-US" w:eastAsia="zh-CN" w:bidi="ar-SA"/>
              </w:rPr>
            </w:pPr>
            <w:r>
              <w:rPr>
                <w:rFonts w:hint="eastAsia" w:ascii="黑体" w:hAnsi="黑体" w:eastAsia="黑体" w:cs="宋体"/>
                <w:color w:val="000000"/>
                <w:kern w:val="0"/>
                <w:sz w:val="24"/>
                <w:szCs w:val="24"/>
                <w:lang w:val="en-US" w:eastAsia="zh-CN"/>
              </w:rPr>
              <w:t>联系人</w:t>
            </w:r>
          </w:p>
        </w:tc>
        <w:tc>
          <w:tcPr>
            <w:tcW w:w="2040" w:type="dxa"/>
            <w:shd w:val="clear" w:color="auto" w:fill="auto"/>
            <w:vAlign w:val="center"/>
          </w:tcPr>
          <w:p w14:paraId="6247103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黑体" w:hAnsi="黑体" w:eastAsia="黑体" w:cs="宋体"/>
                <w:color w:val="000000"/>
                <w:kern w:val="0"/>
                <w:sz w:val="24"/>
                <w:szCs w:val="24"/>
                <w:lang w:val="en-US" w:eastAsia="zh-CN"/>
              </w:rPr>
            </w:pPr>
            <w:bookmarkStart w:id="53" w:name="_GoBack"/>
            <w:bookmarkEnd w:id="53"/>
            <w:r>
              <w:rPr>
                <w:rFonts w:hint="eastAsia" w:ascii="黑体" w:hAnsi="黑体" w:eastAsia="黑体" w:cs="宋体"/>
                <w:color w:val="000000"/>
                <w:kern w:val="0"/>
                <w:sz w:val="24"/>
                <w:szCs w:val="24"/>
                <w:lang w:val="en-US" w:eastAsia="zh-CN"/>
              </w:rPr>
              <w:t>潜在危险</w:t>
            </w:r>
          </w:p>
        </w:tc>
      </w:tr>
      <w:tr w14:paraId="0EF7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78D9410A">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淮北市瑞祥烟花爆竹有限公司</w:t>
            </w:r>
          </w:p>
        </w:tc>
        <w:tc>
          <w:tcPr>
            <w:tcW w:w="2475" w:type="dxa"/>
            <w:shd w:val="clear" w:color="auto" w:fill="auto"/>
            <w:vAlign w:val="center"/>
          </w:tcPr>
          <w:p w14:paraId="6E80D228">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仓储设施位于烈山区宋疃镇太山村</w:t>
            </w:r>
          </w:p>
        </w:tc>
        <w:tc>
          <w:tcPr>
            <w:tcW w:w="2650" w:type="dxa"/>
            <w:shd w:val="clear" w:color="auto" w:fill="auto"/>
            <w:vAlign w:val="center"/>
          </w:tcPr>
          <w:p w14:paraId="358B4DAD">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烟花、爆竹</w:t>
            </w:r>
          </w:p>
        </w:tc>
        <w:tc>
          <w:tcPr>
            <w:tcW w:w="1911" w:type="dxa"/>
            <w:shd w:val="clear" w:color="auto" w:fill="auto"/>
            <w:vAlign w:val="center"/>
          </w:tcPr>
          <w:p w14:paraId="0BF71C80">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29F8C7DD">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张广宏</w:t>
            </w:r>
          </w:p>
        </w:tc>
        <w:tc>
          <w:tcPr>
            <w:tcW w:w="2040" w:type="dxa"/>
            <w:shd w:val="clear" w:color="auto" w:fill="auto"/>
            <w:vAlign w:val="center"/>
          </w:tcPr>
          <w:p w14:paraId="2523B7D3">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火灾、爆炸、车辆</w:t>
            </w:r>
          </w:p>
        </w:tc>
      </w:tr>
      <w:tr w14:paraId="6BDC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6FFBDB4B">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安徽亚太洗涤用品</w:t>
            </w:r>
          </w:p>
          <w:p w14:paraId="71ED1894">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有限公司</w:t>
            </w:r>
          </w:p>
        </w:tc>
        <w:tc>
          <w:tcPr>
            <w:tcW w:w="2475" w:type="dxa"/>
            <w:shd w:val="clear" w:color="auto" w:fill="auto"/>
            <w:vAlign w:val="center"/>
          </w:tcPr>
          <w:p w14:paraId="7E0655D5">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烈山经济开发区</w:t>
            </w:r>
          </w:p>
        </w:tc>
        <w:tc>
          <w:tcPr>
            <w:tcW w:w="2650" w:type="dxa"/>
            <w:shd w:val="clear" w:color="auto" w:fill="auto"/>
            <w:vAlign w:val="center"/>
          </w:tcPr>
          <w:p w14:paraId="6968199B">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液碱、磺酸、次氯酸钠、硝酸、盐酸、乙醇</w:t>
            </w:r>
          </w:p>
        </w:tc>
        <w:tc>
          <w:tcPr>
            <w:tcW w:w="1911" w:type="dxa"/>
            <w:shd w:val="clear" w:color="auto" w:fill="auto"/>
            <w:vAlign w:val="center"/>
          </w:tcPr>
          <w:p w14:paraId="548B83A1">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四级（6）</w:t>
            </w:r>
          </w:p>
        </w:tc>
        <w:tc>
          <w:tcPr>
            <w:tcW w:w="1250" w:type="dxa"/>
            <w:shd w:val="clear" w:color="auto" w:fill="auto"/>
            <w:vAlign w:val="center"/>
          </w:tcPr>
          <w:p w14:paraId="42944BF1">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代广渊</w:t>
            </w:r>
          </w:p>
        </w:tc>
        <w:tc>
          <w:tcPr>
            <w:tcW w:w="2040" w:type="dxa"/>
            <w:shd w:val="clear" w:color="auto" w:fill="auto"/>
            <w:vAlign w:val="center"/>
          </w:tcPr>
          <w:p w14:paraId="05D7EA3D">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火灾、中毒</w:t>
            </w:r>
          </w:p>
        </w:tc>
      </w:tr>
      <w:tr w14:paraId="7301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0E2D5B4D">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安徽科宝生物工程</w:t>
            </w:r>
          </w:p>
          <w:p w14:paraId="3040219C">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有限公司</w:t>
            </w:r>
          </w:p>
        </w:tc>
        <w:tc>
          <w:tcPr>
            <w:tcW w:w="2475" w:type="dxa"/>
            <w:shd w:val="clear" w:color="auto" w:fill="auto"/>
            <w:vAlign w:val="center"/>
          </w:tcPr>
          <w:p w14:paraId="2D1B8685">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烈山区</w:t>
            </w:r>
          </w:p>
          <w:p w14:paraId="18BAEAE6">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刘庄工业园</w:t>
            </w:r>
          </w:p>
        </w:tc>
        <w:tc>
          <w:tcPr>
            <w:tcW w:w="2650" w:type="dxa"/>
            <w:shd w:val="clear" w:color="auto" w:fill="auto"/>
            <w:vAlign w:val="center"/>
          </w:tcPr>
          <w:p w14:paraId="649A3A98">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default" w:ascii="仿宋_GB2312" w:hAnsi="仿宋_GB2312" w:cs="仿宋_GB2312"/>
                <w:color w:val="auto"/>
                <w:kern w:val="0"/>
                <w:sz w:val="21"/>
                <w:szCs w:val="21"/>
                <w:lang w:val="en-US" w:eastAsia="zh-CN" w:bidi="ar"/>
              </w:rPr>
              <w:t>盐酸、硫酸、丙酮、三氯甲烷、</w:t>
            </w:r>
            <w:r>
              <w:rPr>
                <w:rFonts w:hint="eastAsia" w:ascii="仿宋_GB2312" w:hAnsi="仿宋_GB2312" w:cs="仿宋_GB2312"/>
                <w:color w:val="auto"/>
                <w:kern w:val="0"/>
                <w:sz w:val="21"/>
                <w:szCs w:val="21"/>
                <w:lang w:val="en-US" w:eastAsia="zh-CN" w:bidi="ar"/>
              </w:rPr>
              <w:t>乙酸乙酯</w:t>
            </w:r>
            <w:r>
              <w:rPr>
                <w:rFonts w:hint="default" w:ascii="仿宋_GB2312" w:hAnsi="仿宋_GB2312" w:cs="仿宋_GB2312"/>
                <w:color w:val="auto"/>
                <w:kern w:val="0"/>
                <w:sz w:val="21"/>
                <w:szCs w:val="21"/>
                <w:lang w:val="en-US" w:eastAsia="zh-CN" w:bidi="ar"/>
              </w:rPr>
              <w:t>、乙醇</w:t>
            </w:r>
          </w:p>
        </w:tc>
        <w:tc>
          <w:tcPr>
            <w:tcW w:w="1911" w:type="dxa"/>
            <w:shd w:val="clear" w:color="auto" w:fill="auto"/>
            <w:vAlign w:val="center"/>
          </w:tcPr>
          <w:p w14:paraId="5B3DB0C3">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23A1E9CB">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王树大</w:t>
            </w:r>
          </w:p>
        </w:tc>
        <w:tc>
          <w:tcPr>
            <w:tcW w:w="2040" w:type="dxa"/>
            <w:shd w:val="clear" w:color="auto" w:fill="auto"/>
            <w:vAlign w:val="center"/>
          </w:tcPr>
          <w:p w14:paraId="0A244D8B">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火灾爆炸、中毒窒息、腐蚀灼伤</w:t>
            </w:r>
          </w:p>
        </w:tc>
      </w:tr>
      <w:tr w14:paraId="7B67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405E0A0B">
            <w:pPr>
              <w:pStyle w:val="12"/>
              <w:ind w:left="0" w:leftChars="0" w:firstLine="0" w:firstLineChars="0"/>
              <w:jc w:val="center"/>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钧涛电子科技</w:t>
            </w:r>
          </w:p>
          <w:p w14:paraId="50ADBC78">
            <w:pPr>
              <w:pStyle w:val="12"/>
              <w:ind w:left="0" w:leftChars="0" w:firstLine="0" w:firstLineChars="0"/>
              <w:jc w:val="center"/>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有限公司</w:t>
            </w:r>
          </w:p>
        </w:tc>
        <w:tc>
          <w:tcPr>
            <w:tcW w:w="2475" w:type="dxa"/>
            <w:shd w:val="clear" w:color="auto" w:fill="auto"/>
            <w:vAlign w:val="center"/>
          </w:tcPr>
          <w:p w14:paraId="52F10931">
            <w:pPr>
              <w:pStyle w:val="12"/>
              <w:ind w:left="0" w:leftChars="0" w:firstLine="0" w:firstLineChars="0"/>
              <w:jc w:val="center"/>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烈山经济开发区</w:t>
            </w:r>
          </w:p>
        </w:tc>
        <w:tc>
          <w:tcPr>
            <w:tcW w:w="2650" w:type="dxa"/>
            <w:shd w:val="clear" w:color="auto" w:fill="auto"/>
            <w:vAlign w:val="center"/>
          </w:tcPr>
          <w:p w14:paraId="6BFBC607">
            <w:pPr>
              <w:pStyle w:val="12"/>
              <w:ind w:left="0" w:leftChars="0" w:firstLine="0" w:firstLineChars="0"/>
              <w:jc w:val="center"/>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环氧树脂、氨水、氢氧化钠、酒精、盐酸</w:t>
            </w:r>
          </w:p>
        </w:tc>
        <w:tc>
          <w:tcPr>
            <w:tcW w:w="1911" w:type="dxa"/>
            <w:shd w:val="clear" w:color="auto" w:fill="auto"/>
            <w:vAlign w:val="center"/>
          </w:tcPr>
          <w:p w14:paraId="7046E46B">
            <w:pPr>
              <w:pStyle w:val="12"/>
              <w:ind w:left="0" w:leftChars="0" w:firstLine="0" w:firstLineChars="0"/>
              <w:jc w:val="center"/>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049D9C99">
            <w:pPr>
              <w:pStyle w:val="12"/>
              <w:ind w:left="0" w:leftChars="0" w:firstLine="0" w:firstLineChars="0"/>
              <w:jc w:val="center"/>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陈碎焕</w:t>
            </w:r>
          </w:p>
        </w:tc>
        <w:tc>
          <w:tcPr>
            <w:tcW w:w="2040" w:type="dxa"/>
            <w:shd w:val="clear" w:color="auto" w:fill="auto"/>
            <w:vAlign w:val="center"/>
          </w:tcPr>
          <w:p w14:paraId="65BA3AD1">
            <w:pPr>
              <w:pStyle w:val="12"/>
              <w:ind w:left="0" w:leftChars="0" w:firstLine="0" w:firstLineChars="0"/>
              <w:jc w:val="center"/>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易燃、爆炸、中毒</w:t>
            </w:r>
          </w:p>
        </w:tc>
      </w:tr>
      <w:tr w14:paraId="11D0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05D9A0FF">
            <w:pPr>
              <w:widowControl/>
              <w:jc w:val="center"/>
              <w:rPr>
                <w:rFonts w:hint="eastAsia" w:ascii="仿宋_GB2312" w:hAnsi="仿宋_GB2312" w:eastAsia="仿宋_GB2312" w:cs="仿宋_GB2312"/>
                <w:color w:val="auto"/>
                <w:kern w:val="0"/>
                <w:sz w:val="21"/>
                <w:szCs w:val="21"/>
                <w:lang w:bidi="ar"/>
              </w:rPr>
            </w:pPr>
            <w:r>
              <w:rPr>
                <w:rFonts w:hint="eastAsia" w:ascii="仿宋_GB2312" w:hAnsi="仿宋_GB2312" w:eastAsia="仿宋_GB2312" w:cs="仿宋_GB2312"/>
                <w:color w:val="auto"/>
                <w:kern w:val="0"/>
                <w:sz w:val="21"/>
                <w:szCs w:val="21"/>
                <w:lang w:bidi="ar"/>
              </w:rPr>
              <w:t>金龙机电（淮北）</w:t>
            </w:r>
          </w:p>
          <w:p w14:paraId="1DDF9AE2">
            <w:pPr>
              <w:widowControl/>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bidi="ar"/>
              </w:rPr>
              <w:t>有限公司</w:t>
            </w:r>
          </w:p>
        </w:tc>
        <w:tc>
          <w:tcPr>
            <w:tcW w:w="2475" w:type="dxa"/>
            <w:shd w:val="clear" w:color="auto" w:fill="auto"/>
            <w:vAlign w:val="center"/>
          </w:tcPr>
          <w:p w14:paraId="0B23E945">
            <w:pPr>
              <w:widowControl/>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0"/>
                <w:sz w:val="21"/>
                <w:szCs w:val="21"/>
                <w:lang w:bidi="ar"/>
              </w:rPr>
              <w:t>新蔡工业园</w:t>
            </w:r>
          </w:p>
          <w:p w14:paraId="0210B887">
            <w:pPr>
              <w:widowControl/>
              <w:jc w:val="center"/>
              <w:rPr>
                <w:rFonts w:hint="eastAsia" w:ascii="仿宋_GB2312" w:hAnsi="仿宋_GB2312" w:eastAsia="仿宋_GB2312" w:cs="仿宋_GB2312"/>
                <w:color w:val="auto"/>
                <w:kern w:val="0"/>
                <w:sz w:val="21"/>
                <w:szCs w:val="21"/>
                <w:lang w:val="en-US" w:eastAsia="zh-CN" w:bidi="ar"/>
              </w:rPr>
            </w:pPr>
          </w:p>
        </w:tc>
        <w:tc>
          <w:tcPr>
            <w:tcW w:w="2650" w:type="dxa"/>
            <w:shd w:val="clear" w:color="auto" w:fill="auto"/>
            <w:vAlign w:val="center"/>
          </w:tcPr>
          <w:p w14:paraId="5A6F47B9">
            <w:pPr>
              <w:widowControl/>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bidi="ar"/>
              </w:rPr>
              <w:t>酒精</w:t>
            </w:r>
          </w:p>
        </w:tc>
        <w:tc>
          <w:tcPr>
            <w:tcW w:w="1911" w:type="dxa"/>
            <w:shd w:val="clear" w:color="auto" w:fill="auto"/>
            <w:vAlign w:val="center"/>
          </w:tcPr>
          <w:p w14:paraId="0EB956DC">
            <w:pPr>
              <w:widowControl/>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bidi="ar"/>
              </w:rPr>
              <w:t>三级（1）</w:t>
            </w:r>
          </w:p>
        </w:tc>
        <w:tc>
          <w:tcPr>
            <w:tcW w:w="1250" w:type="dxa"/>
            <w:shd w:val="clear" w:color="auto" w:fill="auto"/>
            <w:vAlign w:val="center"/>
          </w:tcPr>
          <w:p w14:paraId="1A6D71F9">
            <w:pPr>
              <w:widowControl/>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bidi="ar"/>
              </w:rPr>
              <w:t>滕文博</w:t>
            </w:r>
          </w:p>
        </w:tc>
        <w:tc>
          <w:tcPr>
            <w:tcW w:w="2040" w:type="dxa"/>
            <w:shd w:val="clear" w:color="auto" w:fill="auto"/>
            <w:vAlign w:val="center"/>
          </w:tcPr>
          <w:p w14:paraId="0CF5D5E0">
            <w:pPr>
              <w:widowControl/>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bidi="ar"/>
              </w:rPr>
              <w:t>火灾、中毒</w:t>
            </w:r>
          </w:p>
        </w:tc>
      </w:tr>
      <w:tr w14:paraId="64C5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377422F7">
            <w:pPr>
              <w:pStyle w:val="12"/>
              <w:ind w:left="0" w:leftChars="0" w:firstLine="0" w:firstLineChars="0"/>
              <w:jc w:val="center"/>
              <w:rPr>
                <w:rFonts w:hAnsi="仿宋_GB2312" w:cs="仿宋_GB2312"/>
                <w:color w:val="auto"/>
                <w:kern w:val="0"/>
                <w:sz w:val="21"/>
                <w:szCs w:val="21"/>
              </w:rPr>
            </w:pPr>
            <w:r>
              <w:rPr>
                <w:rFonts w:hAnsi="仿宋_GB2312" w:cs="仿宋_GB2312"/>
                <w:color w:val="auto"/>
                <w:kern w:val="0"/>
                <w:sz w:val="21"/>
                <w:szCs w:val="21"/>
              </w:rPr>
              <w:t>淮北国安电力</w:t>
            </w:r>
          </w:p>
          <w:p w14:paraId="02819DC3">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Ansi="仿宋_GB2312" w:cs="仿宋_GB2312"/>
                <w:color w:val="auto"/>
                <w:kern w:val="0"/>
                <w:sz w:val="21"/>
                <w:szCs w:val="21"/>
              </w:rPr>
              <w:t>有限公司</w:t>
            </w:r>
          </w:p>
        </w:tc>
        <w:tc>
          <w:tcPr>
            <w:tcW w:w="2475" w:type="dxa"/>
            <w:shd w:val="clear" w:color="auto" w:fill="auto"/>
            <w:vAlign w:val="center"/>
          </w:tcPr>
          <w:p w14:paraId="6E27AA1A">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Ansi="仿宋_GB2312" w:cs="仿宋_GB2312"/>
                <w:color w:val="auto"/>
                <w:kern w:val="0"/>
                <w:sz w:val="21"/>
                <w:szCs w:val="21"/>
              </w:rPr>
              <w:t>宋疃镇</w:t>
            </w:r>
          </w:p>
        </w:tc>
        <w:tc>
          <w:tcPr>
            <w:tcW w:w="2650" w:type="dxa"/>
            <w:shd w:val="clear" w:color="auto" w:fill="auto"/>
            <w:vAlign w:val="center"/>
          </w:tcPr>
          <w:p w14:paraId="7C3DD76B">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Ansi="仿宋_GB2312" w:cs="仿宋_GB2312"/>
                <w:color w:val="auto"/>
                <w:kern w:val="0"/>
                <w:sz w:val="21"/>
                <w:szCs w:val="21"/>
              </w:rPr>
              <w:t>盐酸</w:t>
            </w:r>
            <w:r>
              <w:rPr>
                <w:rFonts w:hint="eastAsia" w:hAnsi="仿宋_GB2312" w:cs="仿宋_GB2312"/>
                <w:color w:val="auto"/>
                <w:kern w:val="0"/>
                <w:sz w:val="21"/>
                <w:szCs w:val="21"/>
              </w:rPr>
              <w:t>、</w:t>
            </w:r>
            <w:r>
              <w:rPr>
                <w:rFonts w:hAnsi="仿宋_GB2312" w:cs="仿宋_GB2312"/>
                <w:color w:val="auto"/>
                <w:kern w:val="0"/>
                <w:sz w:val="21"/>
                <w:szCs w:val="21"/>
              </w:rPr>
              <w:t>硫酸</w:t>
            </w:r>
            <w:r>
              <w:rPr>
                <w:rFonts w:hint="eastAsia" w:hAnsi="仿宋_GB2312" w:cs="仿宋_GB2312"/>
                <w:color w:val="auto"/>
                <w:kern w:val="0"/>
                <w:sz w:val="21"/>
                <w:szCs w:val="21"/>
              </w:rPr>
              <w:t>、</w:t>
            </w:r>
            <w:r>
              <w:rPr>
                <w:rFonts w:hAnsi="仿宋_GB2312" w:cs="仿宋_GB2312"/>
                <w:color w:val="auto"/>
                <w:kern w:val="0"/>
                <w:sz w:val="21"/>
                <w:szCs w:val="21"/>
              </w:rPr>
              <w:t>氨水</w:t>
            </w:r>
          </w:p>
        </w:tc>
        <w:tc>
          <w:tcPr>
            <w:tcW w:w="1911" w:type="dxa"/>
            <w:shd w:val="clear" w:color="auto" w:fill="auto"/>
            <w:vAlign w:val="center"/>
          </w:tcPr>
          <w:p w14:paraId="55AEBB16">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Ansi="仿宋_GB2312" w:cs="仿宋_GB2312"/>
                <w:color w:val="auto"/>
                <w:kern w:val="0"/>
                <w:sz w:val="21"/>
                <w:szCs w:val="21"/>
              </w:rPr>
              <w:t>三级</w:t>
            </w:r>
            <w:r>
              <w:rPr>
                <w:rFonts w:hint="eastAsia" w:hAnsi="仿宋_GB2312" w:cs="仿宋_GB2312"/>
                <w:color w:val="auto"/>
                <w:kern w:val="0"/>
                <w:sz w:val="21"/>
                <w:szCs w:val="21"/>
                <w:lang w:eastAsia="zh-CN"/>
              </w:rPr>
              <w:t>（</w:t>
            </w:r>
            <w:r>
              <w:rPr>
                <w:rFonts w:hint="eastAsia" w:hAnsi="仿宋_GB2312" w:cs="仿宋_GB2312"/>
                <w:color w:val="auto"/>
                <w:kern w:val="0"/>
                <w:sz w:val="21"/>
                <w:szCs w:val="21"/>
              </w:rPr>
              <w:t>1</w:t>
            </w:r>
            <w:r>
              <w:rPr>
                <w:rFonts w:hint="eastAsia" w:hAnsi="仿宋_GB2312" w:cs="仿宋_GB2312"/>
                <w:color w:val="auto"/>
                <w:kern w:val="0"/>
                <w:sz w:val="21"/>
                <w:szCs w:val="21"/>
                <w:lang w:eastAsia="zh-CN"/>
              </w:rPr>
              <w:t>）</w:t>
            </w:r>
            <w:r>
              <w:rPr>
                <w:rFonts w:hint="eastAsia" w:hAnsi="仿宋_GB2312" w:cs="仿宋_GB2312"/>
                <w:color w:val="auto"/>
                <w:kern w:val="0"/>
                <w:sz w:val="21"/>
                <w:szCs w:val="21"/>
              </w:rPr>
              <w:t>、四级（2）</w:t>
            </w:r>
          </w:p>
        </w:tc>
        <w:tc>
          <w:tcPr>
            <w:tcW w:w="1250" w:type="dxa"/>
            <w:shd w:val="clear" w:color="auto" w:fill="auto"/>
            <w:vAlign w:val="center"/>
          </w:tcPr>
          <w:p w14:paraId="10DE5396">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Ansi="仿宋_GB2312" w:cs="仿宋_GB2312"/>
                <w:color w:val="auto"/>
                <w:kern w:val="0"/>
                <w:sz w:val="21"/>
                <w:szCs w:val="21"/>
              </w:rPr>
              <w:t>顾浩</w:t>
            </w:r>
          </w:p>
        </w:tc>
        <w:tc>
          <w:tcPr>
            <w:tcW w:w="2040" w:type="dxa"/>
            <w:shd w:val="clear" w:color="auto" w:fill="auto"/>
            <w:vAlign w:val="center"/>
          </w:tcPr>
          <w:p w14:paraId="2D1BD99E">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cs="Times New Roman"/>
                <w:color w:val="auto"/>
                <w:kern w:val="0"/>
                <w:sz w:val="21"/>
                <w:szCs w:val="21"/>
              </w:rPr>
              <w:t>中毒、窒息、灼伤</w:t>
            </w:r>
          </w:p>
        </w:tc>
      </w:tr>
      <w:tr w14:paraId="16DC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77C0011F">
            <w:pPr>
              <w:pStyle w:val="12"/>
              <w:ind w:left="0" w:leftChars="0" w:firstLine="0" w:firstLineChars="0"/>
              <w:jc w:val="center"/>
              <w:rPr>
                <w:rFonts w:hint="eastAsia" w:hAnsi="仿宋_GB2312" w:cs="仿宋_GB2312"/>
                <w:color w:val="auto"/>
                <w:kern w:val="0"/>
                <w:sz w:val="21"/>
                <w:szCs w:val="21"/>
              </w:rPr>
            </w:pPr>
            <w:r>
              <w:rPr>
                <w:rFonts w:hint="eastAsia" w:hAnsi="仿宋_GB2312" w:cs="仿宋_GB2312"/>
                <w:color w:val="auto"/>
                <w:kern w:val="0"/>
                <w:sz w:val="21"/>
                <w:szCs w:val="21"/>
              </w:rPr>
              <w:t>淮北申皖发电</w:t>
            </w:r>
          </w:p>
          <w:p w14:paraId="09676893">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hAnsi="仿宋_GB2312" w:cs="仿宋_GB2312"/>
                <w:color w:val="auto"/>
                <w:kern w:val="0"/>
                <w:sz w:val="21"/>
                <w:szCs w:val="21"/>
              </w:rPr>
              <w:t>有限公司</w:t>
            </w:r>
          </w:p>
        </w:tc>
        <w:tc>
          <w:tcPr>
            <w:tcW w:w="2475" w:type="dxa"/>
            <w:shd w:val="clear" w:color="auto" w:fill="auto"/>
            <w:vAlign w:val="center"/>
          </w:tcPr>
          <w:p w14:paraId="0987C842">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hAnsi="仿宋_GB2312" w:cs="仿宋_GB2312"/>
                <w:color w:val="auto"/>
                <w:kern w:val="0"/>
                <w:sz w:val="21"/>
                <w:szCs w:val="21"/>
              </w:rPr>
              <w:t>淮北市经济开发区</w:t>
            </w:r>
          </w:p>
        </w:tc>
        <w:tc>
          <w:tcPr>
            <w:tcW w:w="2650" w:type="dxa"/>
            <w:shd w:val="clear" w:color="auto" w:fill="auto"/>
            <w:vAlign w:val="center"/>
          </w:tcPr>
          <w:p w14:paraId="7CC8045B">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color w:val="auto"/>
                <w:sz w:val="21"/>
                <w:szCs w:val="21"/>
              </w:rPr>
              <w:t>硫酸</w:t>
            </w:r>
            <w:r>
              <w:rPr>
                <w:rFonts w:hint="eastAsia"/>
                <w:color w:val="auto"/>
                <w:sz w:val="21"/>
                <w:szCs w:val="21"/>
              </w:rPr>
              <w:t>（73吨）、</w:t>
            </w:r>
            <w:r>
              <w:rPr>
                <w:color w:val="auto"/>
                <w:kern w:val="0"/>
                <w:sz w:val="21"/>
                <w:szCs w:val="21"/>
              </w:rPr>
              <w:t>盐酸</w:t>
            </w:r>
            <w:r>
              <w:rPr>
                <w:rFonts w:hint="eastAsia"/>
                <w:color w:val="auto"/>
                <w:sz w:val="21"/>
                <w:szCs w:val="21"/>
              </w:rPr>
              <w:t>（69吨）</w:t>
            </w:r>
            <w:r>
              <w:rPr>
                <w:rFonts w:hint="eastAsia"/>
                <w:color w:val="auto"/>
                <w:kern w:val="0"/>
                <w:sz w:val="21"/>
                <w:szCs w:val="21"/>
              </w:rPr>
              <w:t>、</w:t>
            </w:r>
            <w:r>
              <w:rPr>
                <w:color w:val="auto"/>
                <w:kern w:val="0"/>
                <w:sz w:val="21"/>
                <w:szCs w:val="21"/>
              </w:rPr>
              <w:t>氢氧化钠</w:t>
            </w:r>
            <w:r>
              <w:rPr>
                <w:rFonts w:hint="eastAsia"/>
                <w:color w:val="auto"/>
                <w:sz w:val="21"/>
                <w:szCs w:val="21"/>
              </w:rPr>
              <w:t>（70吨）</w:t>
            </w:r>
            <w:r>
              <w:rPr>
                <w:rFonts w:hint="eastAsia"/>
                <w:color w:val="auto"/>
                <w:kern w:val="0"/>
                <w:sz w:val="21"/>
                <w:szCs w:val="21"/>
              </w:rPr>
              <w:t>、次氯酸钠</w:t>
            </w:r>
            <w:r>
              <w:rPr>
                <w:rFonts w:hint="eastAsia"/>
                <w:color w:val="auto"/>
                <w:sz w:val="21"/>
                <w:szCs w:val="21"/>
              </w:rPr>
              <w:t>（13吨）、</w:t>
            </w:r>
            <w:r>
              <w:rPr>
                <w:color w:val="auto"/>
                <w:kern w:val="0"/>
                <w:sz w:val="21"/>
                <w:szCs w:val="21"/>
              </w:rPr>
              <w:t>氢气</w:t>
            </w:r>
            <w:r>
              <w:rPr>
                <w:rFonts w:hint="eastAsia"/>
                <w:color w:val="auto"/>
                <w:sz w:val="21"/>
                <w:szCs w:val="21"/>
              </w:rPr>
              <w:t>（129kg）</w:t>
            </w:r>
            <w:r>
              <w:rPr>
                <w:rFonts w:hint="eastAsia"/>
                <w:color w:val="auto"/>
                <w:kern w:val="0"/>
                <w:sz w:val="21"/>
                <w:szCs w:val="21"/>
              </w:rPr>
              <w:t>、氯酸钠</w:t>
            </w:r>
            <w:r>
              <w:rPr>
                <w:rFonts w:hint="eastAsia"/>
                <w:color w:val="auto"/>
                <w:sz w:val="21"/>
                <w:szCs w:val="21"/>
              </w:rPr>
              <w:t>（2吨）</w:t>
            </w:r>
            <w:r>
              <w:rPr>
                <w:rFonts w:hint="eastAsia"/>
                <w:color w:val="auto"/>
                <w:kern w:val="0"/>
                <w:sz w:val="21"/>
                <w:szCs w:val="21"/>
              </w:rPr>
              <w:t>、液氨（640</w:t>
            </w:r>
            <w:r>
              <w:rPr>
                <w:rFonts w:hint="eastAsia"/>
                <w:color w:val="auto"/>
                <w:sz w:val="21"/>
                <w:szCs w:val="21"/>
              </w:rPr>
              <w:t>kg</w:t>
            </w:r>
            <w:r>
              <w:rPr>
                <w:rFonts w:hint="eastAsia"/>
                <w:color w:val="auto"/>
                <w:kern w:val="0"/>
                <w:sz w:val="21"/>
                <w:szCs w:val="21"/>
              </w:rPr>
              <w:t>）、氧气（143</w:t>
            </w:r>
            <w:r>
              <w:rPr>
                <w:rFonts w:hint="eastAsia"/>
                <w:color w:val="auto"/>
                <w:sz w:val="21"/>
                <w:szCs w:val="21"/>
              </w:rPr>
              <w:t>kg</w:t>
            </w:r>
            <w:r>
              <w:rPr>
                <w:rFonts w:hint="eastAsia"/>
                <w:color w:val="auto"/>
                <w:kern w:val="0"/>
                <w:sz w:val="21"/>
                <w:szCs w:val="21"/>
              </w:rPr>
              <w:t>）</w:t>
            </w:r>
          </w:p>
        </w:tc>
        <w:tc>
          <w:tcPr>
            <w:tcW w:w="1911" w:type="dxa"/>
            <w:shd w:val="clear" w:color="auto" w:fill="auto"/>
            <w:vAlign w:val="center"/>
          </w:tcPr>
          <w:p w14:paraId="1D7AD811">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72A86E44">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hAnsi="仿宋_GB2312" w:cs="仿宋_GB2312"/>
                <w:color w:val="auto"/>
                <w:kern w:val="0"/>
                <w:sz w:val="21"/>
                <w:szCs w:val="21"/>
                <w:lang w:val="en-US" w:eastAsia="zh-CN"/>
              </w:rPr>
              <w:t>张震</w:t>
            </w:r>
          </w:p>
        </w:tc>
        <w:tc>
          <w:tcPr>
            <w:tcW w:w="2040" w:type="dxa"/>
            <w:shd w:val="clear" w:color="auto" w:fill="auto"/>
            <w:vAlign w:val="center"/>
          </w:tcPr>
          <w:p w14:paraId="3208BC6A">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hAnsi="仿宋_GB2312" w:cs="仿宋_GB2312"/>
                <w:color w:val="auto"/>
                <w:kern w:val="0"/>
                <w:sz w:val="21"/>
                <w:szCs w:val="21"/>
              </w:rPr>
              <w:t>火灾、爆炸、中毒、腐蚀</w:t>
            </w:r>
          </w:p>
        </w:tc>
      </w:tr>
      <w:tr w14:paraId="1664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651BC3DB">
            <w:pPr>
              <w:pStyle w:val="12"/>
              <w:ind w:left="0" w:leftChars="0" w:firstLine="0" w:firstLineChars="0"/>
              <w:jc w:val="center"/>
              <w:rPr>
                <w:rFonts w:hint="eastAsia" w:hAnsi="仿宋_GB2312" w:cs="仿宋_GB2312"/>
                <w:color w:val="auto"/>
                <w:kern w:val="0"/>
                <w:sz w:val="21"/>
                <w:szCs w:val="21"/>
              </w:rPr>
            </w:pPr>
            <w:r>
              <w:rPr>
                <w:rFonts w:hint="eastAsia" w:hAnsi="仿宋_GB2312" w:cs="仿宋_GB2312"/>
                <w:color w:val="auto"/>
                <w:kern w:val="0"/>
                <w:sz w:val="21"/>
                <w:szCs w:val="21"/>
              </w:rPr>
              <w:t>淮北申能发电</w:t>
            </w:r>
          </w:p>
          <w:p w14:paraId="7930C7F4">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hAnsi="仿宋_GB2312" w:cs="仿宋_GB2312"/>
                <w:color w:val="auto"/>
                <w:kern w:val="0"/>
                <w:sz w:val="21"/>
                <w:szCs w:val="21"/>
              </w:rPr>
              <w:t>有限公司</w:t>
            </w:r>
          </w:p>
        </w:tc>
        <w:tc>
          <w:tcPr>
            <w:tcW w:w="2475" w:type="dxa"/>
            <w:shd w:val="clear" w:color="auto" w:fill="auto"/>
            <w:vAlign w:val="center"/>
          </w:tcPr>
          <w:p w14:paraId="43AA5FC7">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hAnsi="仿宋_GB2312" w:cs="仿宋_GB2312"/>
                <w:color w:val="auto"/>
                <w:kern w:val="0"/>
                <w:sz w:val="21"/>
                <w:szCs w:val="21"/>
              </w:rPr>
              <w:t>淮北市经济开发区</w:t>
            </w:r>
          </w:p>
        </w:tc>
        <w:tc>
          <w:tcPr>
            <w:tcW w:w="2650" w:type="dxa"/>
            <w:shd w:val="clear" w:color="auto" w:fill="auto"/>
            <w:vAlign w:val="center"/>
          </w:tcPr>
          <w:p w14:paraId="5A88FAA3">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color w:val="auto"/>
                <w:sz w:val="21"/>
                <w:szCs w:val="21"/>
              </w:rPr>
              <w:t>硫酸</w:t>
            </w:r>
            <w:r>
              <w:rPr>
                <w:rFonts w:hint="eastAsia"/>
                <w:color w:val="auto"/>
                <w:sz w:val="21"/>
                <w:szCs w:val="21"/>
              </w:rPr>
              <w:t>（29吨）、</w:t>
            </w:r>
            <w:r>
              <w:rPr>
                <w:color w:val="auto"/>
                <w:kern w:val="0"/>
                <w:sz w:val="21"/>
                <w:szCs w:val="21"/>
              </w:rPr>
              <w:t>盐酸</w:t>
            </w:r>
            <w:r>
              <w:rPr>
                <w:rFonts w:hint="eastAsia"/>
                <w:color w:val="auto"/>
                <w:sz w:val="21"/>
                <w:szCs w:val="21"/>
              </w:rPr>
              <w:t>（32吨）</w:t>
            </w:r>
            <w:r>
              <w:rPr>
                <w:rFonts w:hint="eastAsia"/>
                <w:color w:val="auto"/>
                <w:kern w:val="0"/>
                <w:sz w:val="21"/>
                <w:szCs w:val="21"/>
              </w:rPr>
              <w:t>、</w:t>
            </w:r>
            <w:r>
              <w:rPr>
                <w:color w:val="auto"/>
                <w:kern w:val="0"/>
                <w:sz w:val="21"/>
                <w:szCs w:val="21"/>
              </w:rPr>
              <w:t>氢氧化钠</w:t>
            </w:r>
            <w:r>
              <w:rPr>
                <w:rFonts w:hint="eastAsia"/>
                <w:color w:val="auto"/>
                <w:sz w:val="21"/>
                <w:szCs w:val="21"/>
              </w:rPr>
              <w:t>（16吨）</w:t>
            </w:r>
            <w:r>
              <w:rPr>
                <w:rFonts w:hint="eastAsia"/>
                <w:color w:val="auto"/>
                <w:kern w:val="0"/>
                <w:sz w:val="21"/>
                <w:szCs w:val="21"/>
              </w:rPr>
              <w:t>、氯酸钠</w:t>
            </w:r>
            <w:r>
              <w:rPr>
                <w:rFonts w:hint="eastAsia"/>
                <w:color w:val="auto"/>
                <w:sz w:val="21"/>
                <w:szCs w:val="21"/>
              </w:rPr>
              <w:t>（2吨）、</w:t>
            </w:r>
            <w:r>
              <w:rPr>
                <w:rFonts w:hint="eastAsia"/>
                <w:color w:val="auto"/>
                <w:kern w:val="0"/>
                <w:sz w:val="21"/>
                <w:szCs w:val="21"/>
              </w:rPr>
              <w:t>液氨（640</w:t>
            </w:r>
            <w:r>
              <w:rPr>
                <w:rFonts w:hint="eastAsia"/>
                <w:color w:val="auto"/>
                <w:sz w:val="21"/>
                <w:szCs w:val="21"/>
              </w:rPr>
              <w:t>kg</w:t>
            </w:r>
            <w:r>
              <w:rPr>
                <w:rFonts w:hint="eastAsia"/>
                <w:color w:val="auto"/>
                <w:kern w:val="0"/>
                <w:sz w:val="21"/>
                <w:szCs w:val="21"/>
              </w:rPr>
              <w:t>）、氧气（143</w:t>
            </w:r>
            <w:r>
              <w:rPr>
                <w:rFonts w:hint="eastAsia"/>
                <w:color w:val="auto"/>
                <w:sz w:val="21"/>
                <w:szCs w:val="21"/>
              </w:rPr>
              <w:t>kg</w:t>
            </w:r>
            <w:r>
              <w:rPr>
                <w:rFonts w:hint="eastAsia"/>
                <w:color w:val="auto"/>
                <w:kern w:val="0"/>
                <w:sz w:val="21"/>
                <w:szCs w:val="21"/>
              </w:rPr>
              <w:t>）</w:t>
            </w:r>
          </w:p>
        </w:tc>
        <w:tc>
          <w:tcPr>
            <w:tcW w:w="1911" w:type="dxa"/>
            <w:shd w:val="clear" w:color="auto" w:fill="auto"/>
            <w:vAlign w:val="center"/>
          </w:tcPr>
          <w:p w14:paraId="4BD77EFB">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67F913EF">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hAnsi="仿宋_GB2312" w:cs="仿宋_GB2312"/>
                <w:color w:val="auto"/>
                <w:kern w:val="0"/>
                <w:sz w:val="21"/>
                <w:szCs w:val="21"/>
                <w:lang w:val="en-US" w:eastAsia="zh-CN"/>
              </w:rPr>
              <w:t>张震</w:t>
            </w:r>
          </w:p>
        </w:tc>
        <w:tc>
          <w:tcPr>
            <w:tcW w:w="2040" w:type="dxa"/>
            <w:shd w:val="clear" w:color="auto" w:fill="auto"/>
            <w:vAlign w:val="center"/>
          </w:tcPr>
          <w:p w14:paraId="7A0059C8">
            <w:pPr>
              <w:pStyle w:val="12"/>
              <w:ind w:left="0" w:leftChars="0" w:firstLine="0" w:firstLineChars="0"/>
              <w:jc w:val="center"/>
              <w:rPr>
                <w:rFonts w:hint="default" w:ascii="仿宋_GB2312" w:hAnsi="仿宋_GB2312" w:eastAsia="仿宋_GB2312" w:cs="仿宋_GB2312"/>
                <w:color w:val="auto"/>
                <w:kern w:val="0"/>
                <w:sz w:val="21"/>
                <w:szCs w:val="21"/>
                <w:lang w:val="en-US" w:eastAsia="zh-CN" w:bidi="ar-SA"/>
              </w:rPr>
            </w:pPr>
            <w:r>
              <w:rPr>
                <w:rFonts w:hint="eastAsia" w:hAnsi="仿宋_GB2312" w:cs="仿宋_GB2312"/>
                <w:color w:val="auto"/>
                <w:kern w:val="0"/>
                <w:sz w:val="21"/>
                <w:szCs w:val="21"/>
              </w:rPr>
              <w:t>火灾、爆炸、中毒、腐蚀</w:t>
            </w:r>
          </w:p>
        </w:tc>
      </w:tr>
      <w:tr w14:paraId="3DC1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06981774">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大唐安徽发电有限公司淮北发电分公司</w:t>
            </w:r>
          </w:p>
        </w:tc>
        <w:tc>
          <w:tcPr>
            <w:tcW w:w="2475" w:type="dxa"/>
            <w:shd w:val="clear" w:color="auto" w:fill="auto"/>
            <w:vAlign w:val="center"/>
          </w:tcPr>
          <w:p w14:paraId="1FB0C73B">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安徽省淮北市烈山区宋疃镇新园村杨船路1号</w:t>
            </w:r>
          </w:p>
        </w:tc>
        <w:tc>
          <w:tcPr>
            <w:tcW w:w="2650" w:type="dxa"/>
            <w:shd w:val="clear" w:color="auto" w:fill="auto"/>
            <w:vAlign w:val="center"/>
          </w:tcPr>
          <w:p w14:paraId="71FC649F">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盐酸、硫酸、氢氧化钠、氢、柴油、</w:t>
            </w:r>
          </w:p>
        </w:tc>
        <w:tc>
          <w:tcPr>
            <w:tcW w:w="1911" w:type="dxa"/>
            <w:shd w:val="clear" w:color="auto" w:fill="auto"/>
            <w:vAlign w:val="center"/>
          </w:tcPr>
          <w:p w14:paraId="6BCC2032">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四级（5）</w:t>
            </w:r>
          </w:p>
        </w:tc>
        <w:tc>
          <w:tcPr>
            <w:tcW w:w="1250" w:type="dxa"/>
            <w:shd w:val="clear" w:color="auto" w:fill="auto"/>
            <w:vAlign w:val="center"/>
          </w:tcPr>
          <w:p w14:paraId="1F51C2C5">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谢猛</w:t>
            </w:r>
          </w:p>
        </w:tc>
        <w:tc>
          <w:tcPr>
            <w:tcW w:w="2040" w:type="dxa"/>
            <w:shd w:val="clear" w:color="auto" w:fill="auto"/>
            <w:vAlign w:val="center"/>
          </w:tcPr>
          <w:p w14:paraId="6CC3CF42">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爆炸、腐蚀、中毒、火灾</w:t>
            </w:r>
          </w:p>
        </w:tc>
      </w:tr>
      <w:tr w14:paraId="3D60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422E37E1">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淮北市古饶赵侠刁山加油点</w:t>
            </w:r>
          </w:p>
        </w:tc>
        <w:tc>
          <w:tcPr>
            <w:tcW w:w="2475" w:type="dxa"/>
            <w:shd w:val="clear" w:color="auto" w:fill="auto"/>
            <w:vAlign w:val="center"/>
          </w:tcPr>
          <w:p w14:paraId="5478C8DF">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淮北市烈山区古饶镇刁山村东</w:t>
            </w:r>
          </w:p>
        </w:tc>
        <w:tc>
          <w:tcPr>
            <w:tcW w:w="2650" w:type="dxa"/>
            <w:shd w:val="clear" w:color="auto" w:fill="auto"/>
            <w:vAlign w:val="center"/>
          </w:tcPr>
          <w:p w14:paraId="1492005A">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柴油</w:t>
            </w:r>
          </w:p>
        </w:tc>
        <w:tc>
          <w:tcPr>
            <w:tcW w:w="1911" w:type="dxa"/>
            <w:shd w:val="clear" w:color="auto" w:fill="auto"/>
            <w:vAlign w:val="center"/>
          </w:tcPr>
          <w:p w14:paraId="4B64A330">
            <w:pPr>
              <w:keepNext w:val="0"/>
              <w:keepLines w:val="0"/>
              <w:widowControl/>
              <w:suppressLineNumbers w:val="0"/>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三级（1）</w:t>
            </w:r>
          </w:p>
        </w:tc>
        <w:tc>
          <w:tcPr>
            <w:tcW w:w="1250" w:type="dxa"/>
            <w:shd w:val="clear" w:color="auto" w:fill="auto"/>
            <w:vAlign w:val="center"/>
          </w:tcPr>
          <w:p w14:paraId="5926819F">
            <w:pPr>
              <w:keepNext w:val="0"/>
              <w:keepLines w:val="0"/>
              <w:widowControl/>
              <w:suppressLineNumbers w:val="0"/>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黄杰</w:t>
            </w:r>
          </w:p>
        </w:tc>
        <w:tc>
          <w:tcPr>
            <w:tcW w:w="2040" w:type="dxa"/>
            <w:shd w:val="clear" w:color="auto" w:fill="auto"/>
            <w:vAlign w:val="center"/>
          </w:tcPr>
          <w:p w14:paraId="120642F1">
            <w:pPr>
              <w:keepNext w:val="0"/>
              <w:keepLines w:val="0"/>
              <w:widowControl/>
              <w:suppressLineNumbers w:val="0"/>
              <w:jc w:val="center"/>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爆炸</w:t>
            </w:r>
          </w:p>
        </w:tc>
      </w:tr>
      <w:tr w14:paraId="4E91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2150" w:type="dxa"/>
            <w:shd w:val="clear" w:color="auto" w:fill="auto"/>
            <w:vAlign w:val="center"/>
          </w:tcPr>
          <w:p w14:paraId="2A901E24">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淮</w:t>
            </w:r>
            <w:r>
              <w:rPr>
                <w:rFonts w:hint="eastAsia" w:ascii="仿宋_GB2312" w:hAnsi="仿宋_GB2312" w:eastAsia="仿宋_GB2312" w:cs="仿宋_GB2312"/>
                <w:sz w:val="21"/>
                <w:szCs w:val="21"/>
              </w:rPr>
              <w:t>北市烈山区硕成</w:t>
            </w:r>
          </w:p>
          <w:p w14:paraId="3C60D61E">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sz w:val="21"/>
                <w:szCs w:val="21"/>
              </w:rPr>
              <w:t>加油站</w:t>
            </w:r>
          </w:p>
        </w:tc>
        <w:tc>
          <w:tcPr>
            <w:tcW w:w="2475" w:type="dxa"/>
            <w:shd w:val="clear" w:color="auto" w:fill="auto"/>
            <w:vAlign w:val="center"/>
          </w:tcPr>
          <w:p w14:paraId="30B6DF4E">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sz w:val="21"/>
                <w:szCs w:val="21"/>
              </w:rPr>
              <w:t>安徽省淮北市烈山区宋疃镇东风村101省道西侧</w:t>
            </w:r>
          </w:p>
        </w:tc>
        <w:tc>
          <w:tcPr>
            <w:tcW w:w="2650" w:type="dxa"/>
            <w:shd w:val="clear" w:color="auto" w:fill="auto"/>
            <w:vAlign w:val="center"/>
          </w:tcPr>
          <w:p w14:paraId="2B325040">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sz w:val="21"/>
                <w:szCs w:val="21"/>
              </w:rPr>
              <w:t>柴油和汽油</w:t>
            </w:r>
          </w:p>
        </w:tc>
        <w:tc>
          <w:tcPr>
            <w:tcW w:w="1911" w:type="dxa"/>
            <w:shd w:val="clear" w:color="auto" w:fill="auto"/>
            <w:vAlign w:val="center"/>
          </w:tcPr>
          <w:p w14:paraId="717926CE">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sz w:val="21"/>
                <w:szCs w:val="21"/>
              </w:rPr>
              <w:t>三级</w:t>
            </w:r>
          </w:p>
        </w:tc>
        <w:tc>
          <w:tcPr>
            <w:tcW w:w="1250" w:type="dxa"/>
            <w:shd w:val="clear" w:color="auto" w:fill="auto"/>
            <w:vAlign w:val="center"/>
          </w:tcPr>
          <w:p w14:paraId="1D62153E">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sz w:val="21"/>
                <w:szCs w:val="21"/>
              </w:rPr>
              <w:t>吴信来</w:t>
            </w:r>
          </w:p>
        </w:tc>
        <w:tc>
          <w:tcPr>
            <w:tcW w:w="2040" w:type="dxa"/>
            <w:shd w:val="clear" w:color="auto" w:fill="auto"/>
            <w:vAlign w:val="center"/>
          </w:tcPr>
          <w:p w14:paraId="6B3083EE">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sz w:val="21"/>
                <w:szCs w:val="21"/>
              </w:rPr>
              <w:t>火灾、爆炸</w:t>
            </w:r>
          </w:p>
        </w:tc>
      </w:tr>
      <w:tr w14:paraId="702E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35EA275D">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中石油闸河加油站</w:t>
            </w:r>
          </w:p>
        </w:tc>
        <w:tc>
          <w:tcPr>
            <w:tcW w:w="2475" w:type="dxa"/>
            <w:shd w:val="clear" w:color="auto" w:fill="auto"/>
            <w:vAlign w:val="center"/>
          </w:tcPr>
          <w:p w14:paraId="55EEF496">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淮北市烈山区闸河车站北300米</w:t>
            </w:r>
          </w:p>
        </w:tc>
        <w:tc>
          <w:tcPr>
            <w:tcW w:w="2650" w:type="dxa"/>
            <w:shd w:val="clear" w:color="auto" w:fill="auto"/>
            <w:vAlign w:val="center"/>
          </w:tcPr>
          <w:p w14:paraId="1BFFB160">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汽油，柴油</w:t>
            </w:r>
          </w:p>
        </w:tc>
        <w:tc>
          <w:tcPr>
            <w:tcW w:w="1911" w:type="dxa"/>
            <w:shd w:val="clear" w:color="auto" w:fill="auto"/>
            <w:vAlign w:val="center"/>
          </w:tcPr>
          <w:p w14:paraId="159AACD3">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三级</w:t>
            </w:r>
          </w:p>
        </w:tc>
        <w:tc>
          <w:tcPr>
            <w:tcW w:w="1250" w:type="dxa"/>
            <w:shd w:val="clear" w:color="auto" w:fill="auto"/>
            <w:vAlign w:val="center"/>
          </w:tcPr>
          <w:p w14:paraId="32C70F82">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陈搏帆</w:t>
            </w:r>
          </w:p>
        </w:tc>
        <w:tc>
          <w:tcPr>
            <w:tcW w:w="2040" w:type="dxa"/>
            <w:shd w:val="clear" w:color="auto" w:fill="auto"/>
            <w:vAlign w:val="center"/>
          </w:tcPr>
          <w:p w14:paraId="388D0160">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火灾，爆炸</w:t>
            </w:r>
          </w:p>
        </w:tc>
      </w:tr>
      <w:tr w14:paraId="4563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14441D99">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淮北传化石化销售有限公司淮北传化公路港加油站</w:t>
            </w:r>
          </w:p>
        </w:tc>
        <w:tc>
          <w:tcPr>
            <w:tcW w:w="2475" w:type="dxa"/>
            <w:shd w:val="clear" w:color="auto" w:fill="auto"/>
            <w:vAlign w:val="center"/>
          </w:tcPr>
          <w:p w14:paraId="7F55712F">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淮北市烈山区经济开发区传化物流园</w:t>
            </w:r>
          </w:p>
        </w:tc>
        <w:tc>
          <w:tcPr>
            <w:tcW w:w="2650" w:type="dxa"/>
            <w:shd w:val="clear" w:color="auto" w:fill="auto"/>
            <w:vAlign w:val="center"/>
          </w:tcPr>
          <w:p w14:paraId="189FC5B2">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汽油，柴油</w:t>
            </w:r>
          </w:p>
        </w:tc>
        <w:tc>
          <w:tcPr>
            <w:tcW w:w="1911" w:type="dxa"/>
            <w:shd w:val="clear" w:color="auto" w:fill="auto"/>
            <w:vAlign w:val="center"/>
          </w:tcPr>
          <w:p w14:paraId="31A50C1D">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三级</w:t>
            </w:r>
          </w:p>
        </w:tc>
        <w:tc>
          <w:tcPr>
            <w:tcW w:w="1250" w:type="dxa"/>
            <w:shd w:val="clear" w:color="auto" w:fill="auto"/>
            <w:vAlign w:val="center"/>
          </w:tcPr>
          <w:p w14:paraId="504F9ED1">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张海荣</w:t>
            </w:r>
          </w:p>
        </w:tc>
        <w:tc>
          <w:tcPr>
            <w:tcW w:w="2040" w:type="dxa"/>
            <w:shd w:val="clear" w:color="auto" w:fill="auto"/>
            <w:vAlign w:val="center"/>
          </w:tcPr>
          <w:p w14:paraId="088DCB89">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火灾、爆炸，油气中毒</w:t>
            </w:r>
          </w:p>
        </w:tc>
      </w:tr>
      <w:tr w14:paraId="5EC8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03B9DF96">
            <w:pPr>
              <w:pStyle w:val="12"/>
              <w:ind w:left="0" w:leftChars="0" w:firstLine="0" w:firstLineChars="0"/>
              <w:jc w:val="center"/>
              <w:rPr>
                <w:rFonts w:hint="default"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淮北鑫宇石化有限责任公司龙河加油站分公司</w:t>
            </w:r>
          </w:p>
        </w:tc>
        <w:tc>
          <w:tcPr>
            <w:tcW w:w="2475" w:type="dxa"/>
            <w:shd w:val="clear" w:color="auto" w:fill="auto"/>
            <w:vAlign w:val="center"/>
          </w:tcPr>
          <w:p w14:paraId="27F0153F">
            <w:pPr>
              <w:pStyle w:val="12"/>
              <w:ind w:left="0" w:leftChars="0" w:firstLine="0" w:firstLineChars="0"/>
              <w:jc w:val="center"/>
              <w:rPr>
                <w:rFonts w:hint="default"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安徽省淮北市烈山区烈山镇沱河东路245号</w:t>
            </w:r>
          </w:p>
        </w:tc>
        <w:tc>
          <w:tcPr>
            <w:tcW w:w="2650" w:type="dxa"/>
            <w:shd w:val="clear" w:color="auto" w:fill="auto"/>
            <w:vAlign w:val="center"/>
          </w:tcPr>
          <w:p w14:paraId="3149F33A">
            <w:pPr>
              <w:pStyle w:val="12"/>
              <w:ind w:left="0" w:leftChars="0" w:firstLine="0" w:firstLineChars="0"/>
              <w:jc w:val="center"/>
              <w:rPr>
                <w:rFonts w:hint="default"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汽油、柴油</w:t>
            </w:r>
          </w:p>
        </w:tc>
        <w:tc>
          <w:tcPr>
            <w:tcW w:w="1911" w:type="dxa"/>
            <w:shd w:val="clear" w:color="auto" w:fill="auto"/>
            <w:vAlign w:val="center"/>
          </w:tcPr>
          <w:p w14:paraId="37994F7C">
            <w:pPr>
              <w:pStyle w:val="12"/>
              <w:ind w:left="0" w:leftChars="0" w:firstLine="0" w:firstLineChars="0"/>
              <w:jc w:val="center"/>
              <w:rPr>
                <w:rFonts w:hint="default"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三级</w:t>
            </w:r>
          </w:p>
        </w:tc>
        <w:tc>
          <w:tcPr>
            <w:tcW w:w="1250" w:type="dxa"/>
            <w:shd w:val="clear" w:color="auto" w:fill="auto"/>
            <w:vAlign w:val="center"/>
          </w:tcPr>
          <w:p w14:paraId="0EF44E92">
            <w:pPr>
              <w:pStyle w:val="12"/>
              <w:ind w:left="0" w:leftChars="0" w:firstLine="0" w:firstLineChars="0"/>
              <w:jc w:val="center"/>
              <w:rPr>
                <w:rFonts w:hint="default"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spacing w:val="8"/>
                <w:kern w:val="2"/>
                <w:sz w:val="21"/>
                <w:szCs w:val="21"/>
                <w:vertAlign w:val="baseline"/>
                <w:lang w:val="en-US" w:eastAsia="zh-CN" w:bidi="ar-SA"/>
              </w:rPr>
              <w:t>张振伟</w:t>
            </w:r>
          </w:p>
        </w:tc>
        <w:tc>
          <w:tcPr>
            <w:tcW w:w="2040" w:type="dxa"/>
            <w:shd w:val="clear" w:color="auto" w:fill="auto"/>
            <w:vAlign w:val="center"/>
          </w:tcPr>
          <w:p w14:paraId="3005C3EA">
            <w:pPr>
              <w:pStyle w:val="12"/>
              <w:ind w:left="0" w:leftChars="0" w:firstLine="0" w:firstLineChars="0"/>
              <w:jc w:val="center"/>
              <w:rPr>
                <w:rFonts w:hint="default"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火灾、爆炸</w:t>
            </w:r>
          </w:p>
        </w:tc>
      </w:tr>
      <w:tr w14:paraId="61DE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5BB4FE77">
            <w:pPr>
              <w:keepNext w:val="0"/>
              <w:keepLines w:val="0"/>
              <w:widowControl/>
              <w:suppressLineNumbers w:val="0"/>
              <w:jc w:val="center"/>
              <w:rPr>
                <w:rFonts w:hint="default"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淮北市烈山区古饶镇赵集加油站</w:t>
            </w:r>
          </w:p>
        </w:tc>
        <w:tc>
          <w:tcPr>
            <w:tcW w:w="2475" w:type="dxa"/>
            <w:shd w:val="clear" w:color="auto" w:fill="auto"/>
            <w:vAlign w:val="center"/>
          </w:tcPr>
          <w:p w14:paraId="4F714631">
            <w:pPr>
              <w:keepNext w:val="0"/>
              <w:keepLines w:val="0"/>
              <w:widowControl/>
              <w:suppressLineNumbers w:val="0"/>
              <w:jc w:val="center"/>
              <w:rPr>
                <w:rFonts w:hint="eastAsia"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淮北市烈山区古饶镇赵楼村</w:t>
            </w:r>
          </w:p>
          <w:p w14:paraId="19530FFB">
            <w:pPr>
              <w:keepNext w:val="0"/>
              <w:keepLines w:val="0"/>
              <w:widowControl/>
              <w:suppressLineNumbers w:val="0"/>
              <w:jc w:val="center"/>
              <w:rPr>
                <w:rFonts w:hint="default" w:ascii="仿宋_GB2312" w:hAnsi="仿宋_GB2312" w:cs="仿宋_GB2312"/>
                <w:color w:val="auto"/>
                <w:kern w:val="0"/>
                <w:sz w:val="21"/>
                <w:szCs w:val="21"/>
                <w:lang w:val="en-US" w:eastAsia="zh-CN" w:bidi="ar"/>
              </w:rPr>
            </w:pPr>
          </w:p>
        </w:tc>
        <w:tc>
          <w:tcPr>
            <w:tcW w:w="2650" w:type="dxa"/>
            <w:shd w:val="clear" w:color="auto" w:fill="auto"/>
            <w:vAlign w:val="center"/>
          </w:tcPr>
          <w:p w14:paraId="3CFE3E93">
            <w:pPr>
              <w:keepNext w:val="0"/>
              <w:keepLines w:val="0"/>
              <w:widowControl/>
              <w:suppressLineNumbers w:val="0"/>
              <w:jc w:val="center"/>
              <w:rPr>
                <w:rFonts w:hint="default"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柴油、汽油</w:t>
            </w:r>
          </w:p>
        </w:tc>
        <w:tc>
          <w:tcPr>
            <w:tcW w:w="1911" w:type="dxa"/>
            <w:shd w:val="clear" w:color="auto" w:fill="auto"/>
            <w:vAlign w:val="center"/>
          </w:tcPr>
          <w:p w14:paraId="52C53A6D">
            <w:pPr>
              <w:keepNext w:val="0"/>
              <w:keepLines w:val="0"/>
              <w:widowControl/>
              <w:suppressLineNumbers w:val="0"/>
              <w:jc w:val="center"/>
              <w:rPr>
                <w:rFonts w:hint="default"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4C7B14F6">
            <w:pPr>
              <w:keepNext w:val="0"/>
              <w:keepLines w:val="0"/>
              <w:widowControl/>
              <w:suppressLineNumbers w:val="0"/>
              <w:jc w:val="center"/>
              <w:rPr>
                <w:rFonts w:hint="default"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杨超</w:t>
            </w:r>
          </w:p>
        </w:tc>
        <w:tc>
          <w:tcPr>
            <w:tcW w:w="2040" w:type="dxa"/>
            <w:shd w:val="clear" w:color="auto" w:fill="auto"/>
            <w:vAlign w:val="center"/>
          </w:tcPr>
          <w:p w14:paraId="387F3363">
            <w:pPr>
              <w:keepNext w:val="0"/>
              <w:keepLines w:val="0"/>
              <w:widowControl/>
              <w:suppressLineNumbers w:val="0"/>
              <w:jc w:val="center"/>
              <w:rPr>
                <w:rFonts w:hint="default" w:ascii="仿宋_GB2312" w:hAnsi="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火灾、爆炸、中毒</w:t>
            </w:r>
          </w:p>
        </w:tc>
      </w:tr>
      <w:tr w14:paraId="6A5D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0983D661">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淮北市金怡侨油品销售有限公司金侨加油站</w:t>
            </w:r>
          </w:p>
        </w:tc>
        <w:tc>
          <w:tcPr>
            <w:tcW w:w="2475" w:type="dxa"/>
            <w:shd w:val="clear" w:color="auto" w:fill="auto"/>
            <w:vAlign w:val="center"/>
          </w:tcPr>
          <w:p w14:paraId="5956A56F">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安徽省淮北市烈山区宋疃镇店孜村s101省道260m处西侧</w:t>
            </w:r>
          </w:p>
        </w:tc>
        <w:tc>
          <w:tcPr>
            <w:tcW w:w="2650" w:type="dxa"/>
            <w:shd w:val="clear" w:color="auto" w:fill="auto"/>
            <w:vAlign w:val="center"/>
          </w:tcPr>
          <w:p w14:paraId="4965D3E6">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柴油、汽油</w:t>
            </w:r>
          </w:p>
        </w:tc>
        <w:tc>
          <w:tcPr>
            <w:tcW w:w="1911" w:type="dxa"/>
            <w:shd w:val="clear" w:color="auto" w:fill="auto"/>
            <w:vAlign w:val="center"/>
          </w:tcPr>
          <w:p w14:paraId="2C11FAE9">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2C8BD405">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陈悦</w:t>
            </w:r>
          </w:p>
        </w:tc>
        <w:tc>
          <w:tcPr>
            <w:tcW w:w="2040" w:type="dxa"/>
            <w:shd w:val="clear" w:color="auto" w:fill="auto"/>
            <w:vAlign w:val="center"/>
          </w:tcPr>
          <w:p w14:paraId="21925338">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火灾、爆炸</w:t>
            </w:r>
          </w:p>
        </w:tc>
      </w:tr>
      <w:tr w14:paraId="00E8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24168C5C">
            <w:pPr>
              <w:pStyle w:val="12"/>
              <w:ind w:left="0" w:leftChars="0" w:firstLine="0" w:firstLineChars="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spacing w:val="8"/>
                <w:kern w:val="2"/>
                <w:sz w:val="21"/>
                <w:szCs w:val="21"/>
                <w:vertAlign w:val="baseline"/>
                <w:lang w:val="en-US" w:eastAsia="zh-CN" w:bidi="ar-SA"/>
              </w:rPr>
              <w:t>中海油销售安徽有限公司淮北马场加油站</w:t>
            </w:r>
          </w:p>
        </w:tc>
        <w:tc>
          <w:tcPr>
            <w:tcW w:w="2475" w:type="dxa"/>
            <w:shd w:val="clear" w:color="auto" w:fill="auto"/>
            <w:vAlign w:val="center"/>
          </w:tcPr>
          <w:p w14:paraId="257420AE">
            <w:pPr>
              <w:pStyle w:val="12"/>
              <w:ind w:left="0" w:leftChars="0" w:firstLine="0" w:firstLineChars="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安徽省淮北市烈山区梧桐南路东侧烈山宋疃镇阳光中学西北</w:t>
            </w:r>
          </w:p>
        </w:tc>
        <w:tc>
          <w:tcPr>
            <w:tcW w:w="2650" w:type="dxa"/>
            <w:shd w:val="clear" w:color="auto" w:fill="auto"/>
            <w:vAlign w:val="center"/>
          </w:tcPr>
          <w:p w14:paraId="3BE235CF">
            <w:pPr>
              <w:pStyle w:val="12"/>
              <w:ind w:left="0" w:leftChars="0" w:firstLine="0" w:firstLineChars="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汽油、柴油</w:t>
            </w:r>
          </w:p>
        </w:tc>
        <w:tc>
          <w:tcPr>
            <w:tcW w:w="1911" w:type="dxa"/>
            <w:shd w:val="clear" w:color="auto" w:fill="auto"/>
            <w:vAlign w:val="center"/>
          </w:tcPr>
          <w:p w14:paraId="2AB81C87">
            <w:pPr>
              <w:pStyle w:val="12"/>
              <w:ind w:left="0" w:leftChars="0" w:firstLine="0" w:firstLineChars="0"/>
              <w:jc w:val="center"/>
              <w:rPr>
                <w:rFonts w:hint="default"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3960F1F7">
            <w:pPr>
              <w:pStyle w:val="12"/>
              <w:ind w:left="0" w:leftChars="0" w:firstLine="0" w:firstLineChars="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李自峰</w:t>
            </w:r>
          </w:p>
        </w:tc>
        <w:tc>
          <w:tcPr>
            <w:tcW w:w="2040" w:type="dxa"/>
            <w:shd w:val="clear" w:color="auto" w:fill="auto"/>
            <w:vAlign w:val="center"/>
          </w:tcPr>
          <w:p w14:paraId="136A7906">
            <w:pPr>
              <w:pStyle w:val="12"/>
              <w:ind w:left="0" w:leftChars="0" w:firstLine="0" w:firstLineChars="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火灾、爆炸、中毒</w:t>
            </w:r>
          </w:p>
        </w:tc>
      </w:tr>
      <w:tr w14:paraId="6A95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trPr>
        <w:tc>
          <w:tcPr>
            <w:tcW w:w="2150" w:type="dxa"/>
            <w:shd w:val="clear" w:color="auto" w:fill="auto"/>
            <w:vAlign w:val="center"/>
          </w:tcPr>
          <w:p w14:paraId="71F42524">
            <w:pPr>
              <w:wordWrap w:val="0"/>
              <w:spacing w:before="0" w:after="0" w:line="180" w:lineRule="atLeast"/>
              <w:ind w:left="0" w:leftChars="0" w:right="0" w:rightChars="0"/>
              <w:jc w:val="center"/>
              <w:textAlignment w:val="baseline"/>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i w:val="0"/>
                <w:strike w:val="0"/>
                <w:color w:val="auto"/>
                <w:sz w:val="21"/>
                <w:szCs w:val="21"/>
              </w:rPr>
              <w:t>淮北盛顺达工贸有限责任公司加油站</w:t>
            </w:r>
          </w:p>
        </w:tc>
        <w:tc>
          <w:tcPr>
            <w:tcW w:w="2475" w:type="dxa"/>
            <w:shd w:val="clear" w:color="auto" w:fill="auto"/>
            <w:vAlign w:val="center"/>
          </w:tcPr>
          <w:p w14:paraId="151AFF77">
            <w:pPr>
              <w:wordWrap w:val="0"/>
              <w:spacing w:before="0" w:after="0" w:line="180" w:lineRule="atLeast"/>
              <w:ind w:left="0" w:leftChars="0" w:right="0" w:rightChars="0"/>
              <w:jc w:val="center"/>
              <w:textAlignment w:val="baseline"/>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i w:val="0"/>
                <w:strike w:val="0"/>
                <w:color w:val="auto"/>
                <w:sz w:val="21"/>
                <w:szCs w:val="21"/>
              </w:rPr>
              <w:t>童亭矿风井区路南侧</w:t>
            </w:r>
          </w:p>
        </w:tc>
        <w:tc>
          <w:tcPr>
            <w:tcW w:w="2650" w:type="dxa"/>
            <w:shd w:val="clear" w:color="auto" w:fill="auto"/>
            <w:vAlign w:val="center"/>
          </w:tcPr>
          <w:p w14:paraId="785DE046">
            <w:pPr>
              <w:wordWrap w:val="0"/>
              <w:spacing w:before="0" w:after="0" w:line="180" w:lineRule="atLeast"/>
              <w:ind w:left="0" w:leftChars="0" w:right="0" w:rightChars="0"/>
              <w:jc w:val="center"/>
              <w:textAlignment w:val="baseline"/>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i w:val="0"/>
                <w:strike w:val="0"/>
                <w:color w:val="auto"/>
                <w:sz w:val="21"/>
                <w:szCs w:val="21"/>
              </w:rPr>
              <w:t>柴油、汽油</w:t>
            </w:r>
          </w:p>
        </w:tc>
        <w:tc>
          <w:tcPr>
            <w:tcW w:w="1911" w:type="dxa"/>
            <w:shd w:val="clear" w:color="auto" w:fill="auto"/>
            <w:vAlign w:val="center"/>
          </w:tcPr>
          <w:p w14:paraId="3C027BCC">
            <w:pPr>
              <w:wordWrap w:val="0"/>
              <w:spacing w:before="0" w:after="0" w:line="180" w:lineRule="atLeast"/>
              <w:ind w:left="0" w:leftChars="0" w:right="0" w:rightChars="0"/>
              <w:jc w:val="center"/>
              <w:textAlignment w:val="baseline"/>
              <w:rPr>
                <w:rFonts w:hint="default" w:ascii="仿宋_GB2312" w:hAnsi="仿宋_GB2312" w:eastAsia="仿宋_GB2312" w:cs="仿宋_GB2312"/>
                <w:color w:val="auto"/>
                <w:kern w:val="2"/>
                <w:sz w:val="21"/>
                <w:szCs w:val="21"/>
                <w:lang w:val="en-US" w:eastAsia="zh-CN" w:bidi="ar-SA"/>
              </w:rPr>
            </w:pPr>
            <w:r>
              <w:rPr>
                <w:rFonts w:hint="eastAsia" w:ascii="仿宋_GB2312" w:hAnsi="仿宋_GB2312" w:cs="仿宋_GB2312"/>
                <w:color w:val="auto"/>
                <w:kern w:val="2"/>
                <w:sz w:val="21"/>
                <w:szCs w:val="21"/>
                <w:lang w:val="en-US" w:eastAsia="zh-CN" w:bidi="ar-SA"/>
              </w:rPr>
              <w:t>/</w:t>
            </w:r>
          </w:p>
        </w:tc>
        <w:tc>
          <w:tcPr>
            <w:tcW w:w="1250" w:type="dxa"/>
            <w:shd w:val="clear" w:color="auto" w:fill="auto"/>
            <w:vAlign w:val="center"/>
          </w:tcPr>
          <w:p w14:paraId="2BDAAFA4">
            <w:pPr>
              <w:wordWrap w:val="0"/>
              <w:spacing w:before="0" w:after="0" w:line="180" w:lineRule="atLeast"/>
              <w:ind w:left="0" w:leftChars="0" w:right="0" w:rightChars="0"/>
              <w:jc w:val="center"/>
              <w:textAlignment w:val="baseline"/>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i w:val="0"/>
                <w:strike w:val="0"/>
                <w:color w:val="auto"/>
                <w:sz w:val="21"/>
                <w:szCs w:val="21"/>
              </w:rPr>
              <w:t>梁永东</w:t>
            </w:r>
          </w:p>
        </w:tc>
        <w:tc>
          <w:tcPr>
            <w:tcW w:w="2040" w:type="dxa"/>
            <w:shd w:val="clear" w:color="auto" w:fill="auto"/>
            <w:vAlign w:val="center"/>
          </w:tcPr>
          <w:p w14:paraId="11BFF5ED">
            <w:pPr>
              <w:wordWrap w:val="0"/>
              <w:spacing w:before="0" w:after="0" w:line="180" w:lineRule="atLeast"/>
              <w:ind w:left="0" w:leftChars="0" w:right="0" w:rightChars="0"/>
              <w:jc w:val="center"/>
              <w:textAlignment w:val="baseline"/>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i w:val="0"/>
                <w:strike w:val="0"/>
                <w:color w:val="auto"/>
                <w:sz w:val="21"/>
                <w:szCs w:val="21"/>
              </w:rPr>
              <w:t>火灾、爆炸、中毒、窒息</w:t>
            </w:r>
          </w:p>
        </w:tc>
      </w:tr>
      <w:tr w14:paraId="0F17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07B85C24">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中国石化销售股份有限公司淮北马桥加油站</w:t>
            </w:r>
          </w:p>
        </w:tc>
        <w:tc>
          <w:tcPr>
            <w:tcW w:w="2475" w:type="dxa"/>
            <w:shd w:val="clear" w:color="auto" w:fill="auto"/>
            <w:vAlign w:val="center"/>
          </w:tcPr>
          <w:p w14:paraId="3881A1CB">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安徽省淮北市烈山区</w:t>
            </w:r>
            <w:r>
              <w:rPr>
                <w:rFonts w:hint="eastAsia" w:hAnsi="仿宋_GB2312" w:cs="仿宋_GB2312"/>
                <w:i w:val="0"/>
                <w:iCs w:val="0"/>
                <w:color w:val="000000"/>
                <w:kern w:val="0"/>
                <w:sz w:val="21"/>
                <w:szCs w:val="21"/>
                <w:u w:val="none"/>
                <w:lang w:val="en-US" w:eastAsia="zh-CN" w:bidi="ar"/>
              </w:rPr>
              <w:t>宋疃镇</w:t>
            </w:r>
            <w:r>
              <w:rPr>
                <w:rFonts w:hint="eastAsia" w:ascii="仿宋_GB2312" w:hAnsi="仿宋_GB2312" w:eastAsia="仿宋_GB2312" w:cs="仿宋_GB2312"/>
                <w:i w:val="0"/>
                <w:iCs w:val="0"/>
                <w:color w:val="000000"/>
                <w:kern w:val="0"/>
                <w:sz w:val="21"/>
                <w:szCs w:val="21"/>
                <w:u w:val="none"/>
                <w:lang w:val="en-US" w:eastAsia="zh-CN" w:bidi="ar"/>
              </w:rPr>
              <w:t>马桥集077乡道与X018县道交口西140米处南侧</w:t>
            </w:r>
          </w:p>
        </w:tc>
        <w:tc>
          <w:tcPr>
            <w:tcW w:w="2650" w:type="dxa"/>
            <w:shd w:val="clear" w:color="auto" w:fill="auto"/>
            <w:vAlign w:val="center"/>
          </w:tcPr>
          <w:p w14:paraId="1D7EA547">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乙醇汽油、汽油、柴油</w:t>
            </w:r>
          </w:p>
        </w:tc>
        <w:tc>
          <w:tcPr>
            <w:tcW w:w="1911" w:type="dxa"/>
            <w:shd w:val="clear" w:color="auto" w:fill="auto"/>
            <w:vAlign w:val="center"/>
          </w:tcPr>
          <w:p w14:paraId="47346773">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580B5992">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陈春峰</w:t>
            </w:r>
          </w:p>
        </w:tc>
        <w:tc>
          <w:tcPr>
            <w:tcW w:w="2040" w:type="dxa"/>
            <w:shd w:val="clear" w:color="auto" w:fill="auto"/>
            <w:vAlign w:val="center"/>
          </w:tcPr>
          <w:p w14:paraId="30CE74FE">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火灾、爆炸、中毒</w:t>
            </w:r>
          </w:p>
        </w:tc>
      </w:tr>
      <w:tr w14:paraId="0720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4BBAFE9F">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中国石化销售股份有限公司淮北梧桐中路加油一站</w:t>
            </w:r>
          </w:p>
        </w:tc>
        <w:tc>
          <w:tcPr>
            <w:tcW w:w="2475" w:type="dxa"/>
            <w:shd w:val="clear" w:color="auto" w:fill="auto"/>
            <w:vAlign w:val="center"/>
          </w:tcPr>
          <w:p w14:paraId="358A8E89">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安徽省淮北市梧桐中路（东外环）与沱河东路交口北1.5公里处东侧</w:t>
            </w:r>
          </w:p>
        </w:tc>
        <w:tc>
          <w:tcPr>
            <w:tcW w:w="2650" w:type="dxa"/>
            <w:shd w:val="clear" w:color="auto" w:fill="auto"/>
            <w:vAlign w:val="center"/>
          </w:tcPr>
          <w:p w14:paraId="0C7D8C14">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乙醇汽油、汽油、柴油</w:t>
            </w:r>
          </w:p>
        </w:tc>
        <w:tc>
          <w:tcPr>
            <w:tcW w:w="1911" w:type="dxa"/>
            <w:shd w:val="clear" w:color="auto" w:fill="auto"/>
            <w:vAlign w:val="center"/>
          </w:tcPr>
          <w:p w14:paraId="0E4BC8D7">
            <w:pPr>
              <w:pStyle w:val="12"/>
              <w:ind w:left="0" w:leftChars="0" w:firstLine="0" w:firstLineChars="0"/>
              <w:jc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07E901D5">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张丽丽</w:t>
            </w:r>
          </w:p>
        </w:tc>
        <w:tc>
          <w:tcPr>
            <w:tcW w:w="2040" w:type="dxa"/>
            <w:shd w:val="clear" w:color="auto" w:fill="auto"/>
            <w:vAlign w:val="center"/>
          </w:tcPr>
          <w:p w14:paraId="1ED559B6">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火灾、爆炸、中毒</w:t>
            </w:r>
          </w:p>
        </w:tc>
      </w:tr>
      <w:tr w14:paraId="0B1C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6A2C1722">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中国石化销售股份有限公司淮北烈山加油站</w:t>
            </w:r>
          </w:p>
        </w:tc>
        <w:tc>
          <w:tcPr>
            <w:tcW w:w="2475" w:type="dxa"/>
            <w:shd w:val="clear" w:color="auto" w:fill="auto"/>
            <w:vAlign w:val="center"/>
          </w:tcPr>
          <w:p w14:paraId="23E5B414">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安徽省淮北市烈山区烈山镇S101省道与003乡道交口东北角</w:t>
            </w:r>
          </w:p>
        </w:tc>
        <w:tc>
          <w:tcPr>
            <w:tcW w:w="2650" w:type="dxa"/>
            <w:shd w:val="clear" w:color="auto" w:fill="auto"/>
            <w:vAlign w:val="center"/>
          </w:tcPr>
          <w:p w14:paraId="7F5E41A2">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汽油、柴油</w:t>
            </w:r>
          </w:p>
        </w:tc>
        <w:tc>
          <w:tcPr>
            <w:tcW w:w="1911" w:type="dxa"/>
            <w:shd w:val="clear" w:color="auto" w:fill="auto"/>
            <w:vAlign w:val="center"/>
          </w:tcPr>
          <w:p w14:paraId="7FF95DDE">
            <w:pPr>
              <w:ind w:left="0" w:leftChars="0" w:firstLine="0" w:firstLineChars="0"/>
              <w:jc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37F7F1E7">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朱良凯</w:t>
            </w:r>
          </w:p>
        </w:tc>
        <w:tc>
          <w:tcPr>
            <w:tcW w:w="2040" w:type="dxa"/>
            <w:shd w:val="clear" w:color="auto" w:fill="auto"/>
            <w:vAlign w:val="center"/>
          </w:tcPr>
          <w:p w14:paraId="14D5855F">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火灾、爆炸、中毒</w:t>
            </w:r>
          </w:p>
        </w:tc>
      </w:tr>
      <w:tr w14:paraId="200E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34A46B5D">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中国石化销售股份有限公司淮北宋</w:t>
            </w:r>
            <w:r>
              <w:rPr>
                <w:rFonts w:hint="eastAsia" w:hAnsi="仿宋_GB2312" w:cs="仿宋_GB2312"/>
                <w:i w:val="0"/>
                <w:iCs w:val="0"/>
                <w:color w:val="000000"/>
                <w:kern w:val="0"/>
                <w:sz w:val="21"/>
                <w:szCs w:val="21"/>
                <w:u w:val="none"/>
                <w:lang w:val="en-US" w:eastAsia="zh-CN" w:bidi="ar"/>
              </w:rPr>
              <w:t>疃</w:t>
            </w:r>
            <w:r>
              <w:rPr>
                <w:rFonts w:hint="eastAsia" w:ascii="仿宋_GB2312" w:hAnsi="仿宋_GB2312" w:eastAsia="仿宋_GB2312" w:cs="仿宋_GB2312"/>
                <w:i w:val="0"/>
                <w:iCs w:val="0"/>
                <w:color w:val="000000"/>
                <w:kern w:val="0"/>
                <w:sz w:val="21"/>
                <w:szCs w:val="21"/>
                <w:u w:val="none"/>
                <w:lang w:val="en-US" w:eastAsia="zh-CN" w:bidi="ar"/>
              </w:rPr>
              <w:t>加油站</w:t>
            </w:r>
          </w:p>
        </w:tc>
        <w:tc>
          <w:tcPr>
            <w:tcW w:w="2475" w:type="dxa"/>
            <w:shd w:val="clear" w:color="auto" w:fill="auto"/>
            <w:vAlign w:val="center"/>
          </w:tcPr>
          <w:p w14:paraId="675A6F3D">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安徽省淮北市烈山区</w:t>
            </w:r>
            <w:r>
              <w:rPr>
                <w:rFonts w:hint="eastAsia" w:hAnsi="仿宋_GB2312" w:cs="仿宋_GB2312"/>
                <w:i w:val="0"/>
                <w:iCs w:val="0"/>
                <w:color w:val="000000"/>
                <w:kern w:val="0"/>
                <w:sz w:val="21"/>
                <w:szCs w:val="21"/>
                <w:u w:val="none"/>
                <w:lang w:val="en-US" w:eastAsia="zh-CN" w:bidi="ar"/>
              </w:rPr>
              <w:t>宋疃镇</w:t>
            </w:r>
            <w:r>
              <w:rPr>
                <w:rFonts w:hint="eastAsia" w:ascii="仿宋_GB2312" w:hAnsi="仿宋_GB2312" w:eastAsia="仿宋_GB2312" w:cs="仿宋_GB2312"/>
                <w:i w:val="0"/>
                <w:iCs w:val="0"/>
                <w:color w:val="000000"/>
                <w:kern w:val="0"/>
                <w:sz w:val="21"/>
                <w:szCs w:val="21"/>
                <w:u w:val="none"/>
                <w:lang w:val="en-US" w:eastAsia="zh-CN" w:bidi="ar"/>
              </w:rPr>
              <w:t>S101省道与梧桐南路交口东80米处北侧</w:t>
            </w:r>
          </w:p>
        </w:tc>
        <w:tc>
          <w:tcPr>
            <w:tcW w:w="2650" w:type="dxa"/>
            <w:shd w:val="clear" w:color="auto" w:fill="auto"/>
            <w:vAlign w:val="center"/>
          </w:tcPr>
          <w:p w14:paraId="1E8E6BA6">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汽油、柴油</w:t>
            </w:r>
          </w:p>
        </w:tc>
        <w:tc>
          <w:tcPr>
            <w:tcW w:w="1911" w:type="dxa"/>
            <w:shd w:val="clear" w:color="auto" w:fill="auto"/>
            <w:vAlign w:val="center"/>
          </w:tcPr>
          <w:p w14:paraId="05A359EF">
            <w:pPr>
              <w:ind w:left="0" w:leftChars="0" w:firstLine="0" w:firstLineChars="0"/>
              <w:jc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2E358385">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陈春峰</w:t>
            </w:r>
          </w:p>
        </w:tc>
        <w:tc>
          <w:tcPr>
            <w:tcW w:w="2040" w:type="dxa"/>
            <w:shd w:val="clear" w:color="auto" w:fill="auto"/>
            <w:vAlign w:val="center"/>
          </w:tcPr>
          <w:p w14:paraId="0EB6E6A9">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火灾、爆炸、中毒</w:t>
            </w:r>
          </w:p>
        </w:tc>
      </w:tr>
      <w:tr w14:paraId="2833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7F9C9FBD">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中国石化销售股份有限公司淮北沱河东路加油站</w:t>
            </w:r>
          </w:p>
        </w:tc>
        <w:tc>
          <w:tcPr>
            <w:tcW w:w="2475" w:type="dxa"/>
            <w:shd w:val="clear" w:color="auto" w:fill="auto"/>
            <w:vAlign w:val="center"/>
          </w:tcPr>
          <w:p w14:paraId="11EF4B69">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安徽省淮北市烈山区沱河路与东外环路交口西610米处南侧</w:t>
            </w:r>
          </w:p>
        </w:tc>
        <w:tc>
          <w:tcPr>
            <w:tcW w:w="2650" w:type="dxa"/>
            <w:shd w:val="clear" w:color="auto" w:fill="auto"/>
            <w:vAlign w:val="center"/>
          </w:tcPr>
          <w:p w14:paraId="28F0BB1C">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汽油、柴油</w:t>
            </w:r>
          </w:p>
        </w:tc>
        <w:tc>
          <w:tcPr>
            <w:tcW w:w="1911" w:type="dxa"/>
            <w:shd w:val="clear" w:color="auto" w:fill="auto"/>
            <w:vAlign w:val="center"/>
          </w:tcPr>
          <w:p w14:paraId="7FAA2E85">
            <w:pPr>
              <w:ind w:left="0" w:leftChars="0" w:firstLine="0" w:firstLineChars="0"/>
              <w:jc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7600857D">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高建设</w:t>
            </w:r>
          </w:p>
        </w:tc>
        <w:tc>
          <w:tcPr>
            <w:tcW w:w="2040" w:type="dxa"/>
            <w:shd w:val="clear" w:color="auto" w:fill="auto"/>
            <w:vAlign w:val="center"/>
          </w:tcPr>
          <w:p w14:paraId="17F823F9">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火灾、爆炸、中毒</w:t>
            </w:r>
          </w:p>
        </w:tc>
      </w:tr>
      <w:tr w14:paraId="4EDA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617C98CF">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中国石化销售股份有限公司淮北杨庄加油站</w:t>
            </w:r>
          </w:p>
        </w:tc>
        <w:tc>
          <w:tcPr>
            <w:tcW w:w="2475" w:type="dxa"/>
            <w:shd w:val="clear" w:color="auto" w:fill="auto"/>
            <w:vAlign w:val="center"/>
          </w:tcPr>
          <w:p w14:paraId="7A6BC78E">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安徽省淮北市烈山区烈山镇S101省道与003乡道交口东450米处南侧</w:t>
            </w:r>
          </w:p>
        </w:tc>
        <w:tc>
          <w:tcPr>
            <w:tcW w:w="2650" w:type="dxa"/>
            <w:shd w:val="clear" w:color="auto" w:fill="auto"/>
            <w:vAlign w:val="center"/>
          </w:tcPr>
          <w:p w14:paraId="1F372FDE">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汽油、柴油</w:t>
            </w:r>
          </w:p>
        </w:tc>
        <w:tc>
          <w:tcPr>
            <w:tcW w:w="1911" w:type="dxa"/>
            <w:shd w:val="clear" w:color="auto" w:fill="auto"/>
            <w:vAlign w:val="center"/>
          </w:tcPr>
          <w:p w14:paraId="69AAD984">
            <w:pPr>
              <w:ind w:left="0" w:leftChars="0" w:firstLine="0" w:firstLineChars="0"/>
              <w:jc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3BDBA579">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刘慧敏</w:t>
            </w:r>
          </w:p>
        </w:tc>
        <w:tc>
          <w:tcPr>
            <w:tcW w:w="2040" w:type="dxa"/>
            <w:shd w:val="clear" w:color="auto" w:fill="auto"/>
            <w:vAlign w:val="center"/>
          </w:tcPr>
          <w:p w14:paraId="3E1D68EF">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火灾、爆炸、中毒</w:t>
            </w:r>
          </w:p>
        </w:tc>
      </w:tr>
      <w:tr w14:paraId="5D81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33B28D18">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中国石化销售股份有限公司淮北东外环加油站</w:t>
            </w:r>
          </w:p>
        </w:tc>
        <w:tc>
          <w:tcPr>
            <w:tcW w:w="2475" w:type="dxa"/>
            <w:shd w:val="clear" w:color="auto" w:fill="auto"/>
            <w:vAlign w:val="center"/>
          </w:tcPr>
          <w:p w14:paraId="325FC276">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安徽省淮北市烈山区新蔡镇梧桐南路</w:t>
            </w:r>
            <w:r>
              <w:rPr>
                <w:rFonts w:hint="eastAsia"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X023县道</w:t>
            </w:r>
            <w:r>
              <w:rPr>
                <w:rFonts w:hint="eastAsia"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与花山西路交口北210米处西侧</w:t>
            </w:r>
          </w:p>
        </w:tc>
        <w:tc>
          <w:tcPr>
            <w:tcW w:w="2650" w:type="dxa"/>
            <w:shd w:val="clear" w:color="auto" w:fill="auto"/>
            <w:vAlign w:val="center"/>
          </w:tcPr>
          <w:p w14:paraId="42EE6FD0">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汽油、柴油</w:t>
            </w:r>
          </w:p>
        </w:tc>
        <w:tc>
          <w:tcPr>
            <w:tcW w:w="1911" w:type="dxa"/>
            <w:shd w:val="clear" w:color="auto" w:fill="auto"/>
            <w:vAlign w:val="center"/>
          </w:tcPr>
          <w:p w14:paraId="13DBB1F3">
            <w:pPr>
              <w:ind w:left="0" w:leftChars="0" w:firstLine="0" w:firstLineChars="0"/>
              <w:jc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4B3B1C79">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张丽丽</w:t>
            </w:r>
          </w:p>
        </w:tc>
        <w:tc>
          <w:tcPr>
            <w:tcW w:w="2040" w:type="dxa"/>
            <w:shd w:val="clear" w:color="auto" w:fill="auto"/>
            <w:vAlign w:val="center"/>
          </w:tcPr>
          <w:p w14:paraId="58F6721E">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火灾、爆炸、中毒</w:t>
            </w:r>
          </w:p>
        </w:tc>
      </w:tr>
      <w:tr w14:paraId="02E4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1880AABA">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淮北市烈山区新世纪加油站</w:t>
            </w:r>
          </w:p>
        </w:tc>
        <w:tc>
          <w:tcPr>
            <w:tcW w:w="2475" w:type="dxa"/>
            <w:shd w:val="clear" w:color="auto" w:fill="auto"/>
            <w:vAlign w:val="center"/>
          </w:tcPr>
          <w:p w14:paraId="3CF7A80A">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安徽省淮北市烈山区宋疃镇赵庄村S101省道与G3高速下穿交口西240米处南侧</w:t>
            </w:r>
          </w:p>
        </w:tc>
        <w:tc>
          <w:tcPr>
            <w:tcW w:w="2650" w:type="dxa"/>
            <w:shd w:val="clear" w:color="auto" w:fill="auto"/>
            <w:vAlign w:val="center"/>
          </w:tcPr>
          <w:p w14:paraId="21E2203D">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汽油、柴油</w:t>
            </w:r>
          </w:p>
        </w:tc>
        <w:tc>
          <w:tcPr>
            <w:tcW w:w="1911" w:type="dxa"/>
            <w:shd w:val="clear" w:color="auto" w:fill="auto"/>
            <w:vAlign w:val="center"/>
          </w:tcPr>
          <w:p w14:paraId="0A2D7C62">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63C380FE">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陈新</w:t>
            </w:r>
          </w:p>
        </w:tc>
        <w:tc>
          <w:tcPr>
            <w:tcW w:w="2040" w:type="dxa"/>
            <w:shd w:val="clear" w:color="auto" w:fill="auto"/>
            <w:vAlign w:val="center"/>
          </w:tcPr>
          <w:p w14:paraId="48589676">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火灾、爆炸</w:t>
            </w:r>
          </w:p>
        </w:tc>
      </w:tr>
      <w:tr w14:paraId="1856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2FCEA63A">
            <w:pPr>
              <w:pStyle w:val="12"/>
              <w:ind w:left="0" w:leftChars="0" w:firstLine="0" w:firstLineChars="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中石油东外环西加油站</w:t>
            </w:r>
          </w:p>
        </w:tc>
        <w:tc>
          <w:tcPr>
            <w:tcW w:w="2475" w:type="dxa"/>
            <w:shd w:val="clear" w:color="auto" w:fill="auto"/>
            <w:vAlign w:val="center"/>
          </w:tcPr>
          <w:p w14:paraId="050F92F5">
            <w:pPr>
              <w:pStyle w:val="12"/>
              <w:ind w:left="0" w:leftChars="0" w:firstLine="0" w:firstLineChars="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淮北市烈山区蔡里社区东外环西</w:t>
            </w:r>
          </w:p>
        </w:tc>
        <w:tc>
          <w:tcPr>
            <w:tcW w:w="2650" w:type="dxa"/>
            <w:shd w:val="clear" w:color="auto" w:fill="auto"/>
            <w:vAlign w:val="center"/>
          </w:tcPr>
          <w:p w14:paraId="10D86D69">
            <w:pPr>
              <w:pStyle w:val="12"/>
              <w:ind w:left="0" w:leftChars="0" w:firstLine="0" w:firstLineChars="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汽油、柴油、</w:t>
            </w:r>
          </w:p>
        </w:tc>
        <w:tc>
          <w:tcPr>
            <w:tcW w:w="1911" w:type="dxa"/>
            <w:shd w:val="clear" w:color="auto" w:fill="auto"/>
            <w:vAlign w:val="center"/>
          </w:tcPr>
          <w:p w14:paraId="05B4F9A5">
            <w:pPr>
              <w:pStyle w:val="12"/>
              <w:ind w:left="0" w:leftChars="0" w:firstLine="0" w:firstLineChars="0"/>
              <w:jc w:val="center"/>
              <w:rPr>
                <w:rFonts w:hint="default"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12F0012F">
            <w:pPr>
              <w:pStyle w:val="10"/>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56" w:lineRule="atLeast"/>
              <w:ind w:left="0" w:leftChars="0" w:right="0" w:rightChars="0" w:firstLine="0" w:firstLineChars="0"/>
              <w:jc w:val="center"/>
              <w:outlineLvl w:val="9"/>
              <w:rPr>
                <w:rFonts w:hint="eastAsia" w:ascii="仿宋_GB2312" w:hAnsi="仿宋_GB2312" w:eastAsia="仿宋_GB2312" w:cs="仿宋_GB2312"/>
                <w:b w:val="0"/>
                <w:bCs w:val="0"/>
                <w:spacing w:val="8"/>
                <w:kern w:val="2"/>
                <w:sz w:val="21"/>
                <w:szCs w:val="21"/>
                <w:vertAlign w:val="baseline"/>
                <w:lang w:val="en-US" w:eastAsia="zh-CN" w:bidi="ar-SA"/>
              </w:rPr>
            </w:pPr>
            <w:r>
              <w:rPr>
                <w:rFonts w:hint="eastAsia" w:ascii="仿宋_GB2312" w:hAnsi="仿宋_GB2312" w:eastAsia="仿宋_GB2312" w:cs="仿宋_GB2312"/>
                <w:b w:val="0"/>
                <w:bCs w:val="0"/>
                <w:spacing w:val="8"/>
                <w:kern w:val="2"/>
                <w:sz w:val="21"/>
                <w:szCs w:val="21"/>
                <w:vertAlign w:val="baseline"/>
                <w:lang w:val="en-US" w:eastAsia="zh-CN" w:bidi="ar-SA"/>
              </w:rPr>
              <w:t>朱齐齐</w:t>
            </w:r>
          </w:p>
        </w:tc>
        <w:tc>
          <w:tcPr>
            <w:tcW w:w="2040" w:type="dxa"/>
            <w:shd w:val="clear" w:color="auto" w:fill="auto"/>
            <w:vAlign w:val="center"/>
          </w:tcPr>
          <w:p w14:paraId="350F23C3">
            <w:pPr>
              <w:pStyle w:val="12"/>
              <w:ind w:left="0" w:leftChars="0" w:firstLine="0" w:firstLineChars="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火灾、爆炸、中毒</w:t>
            </w:r>
          </w:p>
        </w:tc>
      </w:tr>
      <w:tr w14:paraId="1FD1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63922D59">
            <w:pPr>
              <w:keepNext w:val="0"/>
              <w:keepLines w:val="0"/>
              <w:widowControl/>
              <w:suppressLineNumbers w:val="0"/>
              <w:jc w:val="cente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t>中国石油天然气股份有限公司安徽淮北销售分公司交通加油站</w:t>
            </w:r>
          </w:p>
        </w:tc>
        <w:tc>
          <w:tcPr>
            <w:tcW w:w="2475" w:type="dxa"/>
            <w:shd w:val="clear" w:color="auto" w:fill="auto"/>
            <w:vAlign w:val="center"/>
          </w:tcPr>
          <w:p w14:paraId="4B90790A">
            <w:pPr>
              <w:keepNext w:val="0"/>
              <w:keepLines w:val="0"/>
              <w:widowControl/>
              <w:suppressLineNumbers w:val="0"/>
              <w:jc w:val="cente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t>淮北市烈山区</w:t>
            </w:r>
          </w:p>
        </w:tc>
        <w:tc>
          <w:tcPr>
            <w:tcW w:w="2650" w:type="dxa"/>
            <w:shd w:val="clear" w:color="auto" w:fill="auto"/>
            <w:vAlign w:val="center"/>
          </w:tcPr>
          <w:p w14:paraId="494689AC">
            <w:pPr>
              <w:keepNext w:val="0"/>
              <w:keepLines w:val="0"/>
              <w:widowControl/>
              <w:suppressLineNumbers w:val="0"/>
              <w:jc w:val="cente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t>柴油、汽油</w:t>
            </w:r>
          </w:p>
        </w:tc>
        <w:tc>
          <w:tcPr>
            <w:tcW w:w="1911" w:type="dxa"/>
            <w:shd w:val="clear" w:color="auto" w:fill="auto"/>
            <w:vAlign w:val="center"/>
          </w:tcPr>
          <w:p w14:paraId="113432CD">
            <w:pPr>
              <w:keepNext w:val="0"/>
              <w:keepLines w:val="0"/>
              <w:widowControl/>
              <w:suppressLineNumbers w:val="0"/>
              <w:jc w:val="center"/>
              <w:rPr>
                <w:rFonts w:hint="default"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1598A369">
            <w:pPr>
              <w:keepNext w:val="0"/>
              <w:keepLines w:val="0"/>
              <w:widowControl/>
              <w:suppressLineNumbers w:val="0"/>
              <w:jc w:val="cente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t>王磊</w:t>
            </w:r>
          </w:p>
        </w:tc>
        <w:tc>
          <w:tcPr>
            <w:tcW w:w="2040" w:type="dxa"/>
            <w:shd w:val="clear" w:color="auto" w:fill="auto"/>
            <w:vAlign w:val="center"/>
          </w:tcPr>
          <w:p w14:paraId="55345D51">
            <w:pPr>
              <w:keepNext w:val="0"/>
              <w:keepLines w:val="0"/>
              <w:widowControl/>
              <w:suppressLineNumbers w:val="0"/>
              <w:jc w:val="cente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21"/>
                <w:szCs w:val="21"/>
                <w:highlight w:val="none"/>
                <w:lang w:val="en-US" w:eastAsia="zh-CN" w:bidi="ar"/>
                <w14:textFill>
                  <w14:solidFill>
                    <w14:schemeClr w14:val="tx1"/>
                  </w14:solidFill>
                </w14:textFill>
              </w:rPr>
              <w:t>火灾、爆炸</w:t>
            </w:r>
          </w:p>
        </w:tc>
      </w:tr>
      <w:tr w14:paraId="6372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04A42073">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中石油烈东加油站</w:t>
            </w:r>
          </w:p>
        </w:tc>
        <w:tc>
          <w:tcPr>
            <w:tcW w:w="2475" w:type="dxa"/>
            <w:shd w:val="clear" w:color="auto" w:fill="auto"/>
            <w:vAlign w:val="center"/>
          </w:tcPr>
          <w:p w14:paraId="67AD82D9">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淮北市烈山区新南村</w:t>
            </w:r>
          </w:p>
        </w:tc>
        <w:tc>
          <w:tcPr>
            <w:tcW w:w="2650" w:type="dxa"/>
            <w:shd w:val="clear" w:color="auto" w:fill="auto"/>
            <w:vAlign w:val="center"/>
          </w:tcPr>
          <w:p w14:paraId="26350012">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汽油，柴油</w:t>
            </w:r>
          </w:p>
        </w:tc>
        <w:tc>
          <w:tcPr>
            <w:tcW w:w="1911" w:type="dxa"/>
            <w:shd w:val="clear" w:color="auto" w:fill="auto"/>
            <w:vAlign w:val="center"/>
          </w:tcPr>
          <w:p w14:paraId="4D0859EB">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330C965B">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王海波</w:t>
            </w:r>
          </w:p>
        </w:tc>
        <w:tc>
          <w:tcPr>
            <w:tcW w:w="2040" w:type="dxa"/>
            <w:shd w:val="clear" w:color="auto" w:fill="auto"/>
            <w:vAlign w:val="center"/>
          </w:tcPr>
          <w:p w14:paraId="796A5988">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火灾，爆炸</w:t>
            </w:r>
          </w:p>
        </w:tc>
      </w:tr>
      <w:tr w14:paraId="6A35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trPr>
        <w:tc>
          <w:tcPr>
            <w:tcW w:w="2150" w:type="dxa"/>
            <w:shd w:val="clear" w:color="auto" w:fill="auto"/>
            <w:vAlign w:val="center"/>
          </w:tcPr>
          <w:p w14:paraId="1A98EBF6">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中石油青龙山加油站</w:t>
            </w:r>
          </w:p>
        </w:tc>
        <w:tc>
          <w:tcPr>
            <w:tcW w:w="2475" w:type="dxa"/>
            <w:shd w:val="clear" w:color="auto" w:fill="auto"/>
            <w:vAlign w:val="center"/>
          </w:tcPr>
          <w:p w14:paraId="3861D2EF">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淮北市烈山区青龙山火车站南500米</w:t>
            </w:r>
          </w:p>
        </w:tc>
        <w:tc>
          <w:tcPr>
            <w:tcW w:w="2650" w:type="dxa"/>
            <w:shd w:val="clear" w:color="auto" w:fill="auto"/>
            <w:vAlign w:val="center"/>
          </w:tcPr>
          <w:p w14:paraId="44B475A5">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汽油，柴油</w:t>
            </w:r>
          </w:p>
        </w:tc>
        <w:tc>
          <w:tcPr>
            <w:tcW w:w="1911" w:type="dxa"/>
            <w:shd w:val="clear" w:color="auto" w:fill="auto"/>
            <w:vAlign w:val="center"/>
          </w:tcPr>
          <w:p w14:paraId="72BD32AD">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w:t>
            </w:r>
          </w:p>
        </w:tc>
        <w:tc>
          <w:tcPr>
            <w:tcW w:w="1250" w:type="dxa"/>
            <w:shd w:val="clear" w:color="auto" w:fill="auto"/>
            <w:vAlign w:val="center"/>
          </w:tcPr>
          <w:p w14:paraId="321244BA">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张文娟</w:t>
            </w:r>
          </w:p>
        </w:tc>
        <w:tc>
          <w:tcPr>
            <w:tcW w:w="2040" w:type="dxa"/>
            <w:shd w:val="clear" w:color="auto" w:fill="auto"/>
            <w:vAlign w:val="center"/>
          </w:tcPr>
          <w:p w14:paraId="2460338A">
            <w:pPr>
              <w:pStyle w:val="12"/>
              <w:ind w:left="0" w:leftChars="0" w:firstLine="0" w:firstLineChars="0"/>
              <w:jc w:val="center"/>
              <w:rPr>
                <w:rFonts w:hint="default" w:ascii="仿宋_GB2312" w:hAnsi="仿宋_GB2312" w:eastAsia="仿宋_GB2312" w:cs="仿宋_GB2312"/>
                <w:color w:val="000000"/>
                <w:kern w:val="0"/>
                <w:sz w:val="21"/>
                <w:szCs w:val="21"/>
                <w:vertAlign w:val="baseline"/>
                <w:lang w:val="en-US" w:eastAsia="zh-CN" w:bidi="ar"/>
              </w:rPr>
            </w:pPr>
            <w:r>
              <w:rPr>
                <w:rFonts w:hint="eastAsia" w:hAnsi="仿宋_GB2312" w:cs="仿宋_GB2312"/>
                <w:color w:val="000000"/>
                <w:kern w:val="0"/>
                <w:sz w:val="21"/>
                <w:szCs w:val="21"/>
                <w:vertAlign w:val="baseline"/>
                <w:lang w:val="en-US" w:eastAsia="zh-CN" w:bidi="ar"/>
              </w:rPr>
              <w:t>火灾，爆炸</w:t>
            </w:r>
          </w:p>
        </w:tc>
      </w:tr>
      <w:tr w14:paraId="1032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2763B1C6">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淮北市古饶秦闸加油站</w:t>
            </w:r>
          </w:p>
        </w:tc>
        <w:tc>
          <w:tcPr>
            <w:tcW w:w="2475" w:type="dxa"/>
            <w:shd w:val="clear" w:color="auto" w:fill="auto"/>
            <w:vAlign w:val="center"/>
          </w:tcPr>
          <w:p w14:paraId="08D7A82B">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古饶秦闸</w:t>
            </w:r>
          </w:p>
        </w:tc>
        <w:tc>
          <w:tcPr>
            <w:tcW w:w="2650" w:type="dxa"/>
            <w:shd w:val="clear" w:color="auto" w:fill="auto"/>
            <w:vAlign w:val="center"/>
          </w:tcPr>
          <w:p w14:paraId="0A3EDF74">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汽油、柴油</w:t>
            </w:r>
          </w:p>
        </w:tc>
        <w:tc>
          <w:tcPr>
            <w:tcW w:w="1911" w:type="dxa"/>
            <w:shd w:val="clear" w:color="auto" w:fill="auto"/>
            <w:vAlign w:val="center"/>
          </w:tcPr>
          <w:p w14:paraId="4FE4C7F5">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24501408">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罗金星</w:t>
            </w:r>
          </w:p>
        </w:tc>
        <w:tc>
          <w:tcPr>
            <w:tcW w:w="2040" w:type="dxa"/>
            <w:shd w:val="clear" w:color="auto" w:fill="auto"/>
            <w:vAlign w:val="center"/>
          </w:tcPr>
          <w:p w14:paraId="6C6EF89C">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火灾、爆炸</w:t>
            </w:r>
          </w:p>
        </w:tc>
      </w:tr>
      <w:tr w14:paraId="44E9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19AFF078">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淮北市烈山区古饶加油站</w:t>
            </w:r>
          </w:p>
        </w:tc>
        <w:tc>
          <w:tcPr>
            <w:tcW w:w="2475" w:type="dxa"/>
            <w:shd w:val="clear" w:color="auto" w:fill="auto"/>
            <w:vAlign w:val="center"/>
          </w:tcPr>
          <w:p w14:paraId="778A94F1">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淮北市烈山区古饶镇新村矿东路与古赵路交口南500米</w:t>
            </w:r>
          </w:p>
        </w:tc>
        <w:tc>
          <w:tcPr>
            <w:tcW w:w="2650" w:type="dxa"/>
            <w:shd w:val="clear" w:color="auto" w:fill="auto"/>
            <w:vAlign w:val="center"/>
          </w:tcPr>
          <w:p w14:paraId="5C953C98">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汽油、柴油</w:t>
            </w:r>
          </w:p>
        </w:tc>
        <w:tc>
          <w:tcPr>
            <w:tcW w:w="1911" w:type="dxa"/>
            <w:shd w:val="clear" w:color="auto" w:fill="auto"/>
            <w:vAlign w:val="center"/>
          </w:tcPr>
          <w:p w14:paraId="02E6CF4B">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31570612">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李艳慧</w:t>
            </w:r>
          </w:p>
        </w:tc>
        <w:tc>
          <w:tcPr>
            <w:tcW w:w="2040" w:type="dxa"/>
            <w:shd w:val="clear" w:color="auto" w:fill="auto"/>
            <w:vAlign w:val="center"/>
          </w:tcPr>
          <w:p w14:paraId="2BC9B591">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火灾、爆炸、中毒</w:t>
            </w:r>
          </w:p>
        </w:tc>
      </w:tr>
      <w:tr w14:paraId="7022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61286E1D">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sz w:val="21"/>
                <w:szCs w:val="21"/>
                <w:lang w:val="en-US" w:eastAsia="zh-CN" w:bidi="ar"/>
              </w:rPr>
              <w:t>淮北市宋疃镇马桥卫东加油点</w:t>
            </w:r>
          </w:p>
        </w:tc>
        <w:tc>
          <w:tcPr>
            <w:tcW w:w="2475" w:type="dxa"/>
            <w:shd w:val="clear" w:color="auto" w:fill="auto"/>
            <w:vAlign w:val="center"/>
          </w:tcPr>
          <w:p w14:paraId="42B89BDB">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sz w:val="21"/>
                <w:szCs w:val="21"/>
              </w:rPr>
              <w:t>淮北市宋疃镇马桥卫东加油点</w:t>
            </w:r>
          </w:p>
        </w:tc>
        <w:tc>
          <w:tcPr>
            <w:tcW w:w="2650" w:type="dxa"/>
            <w:shd w:val="clear" w:color="auto" w:fill="auto"/>
            <w:vAlign w:val="center"/>
          </w:tcPr>
          <w:p w14:paraId="67E4EE91">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sz w:val="21"/>
                <w:szCs w:val="21"/>
                <w:lang w:val="en-US" w:eastAsia="zh-CN" w:bidi="ar"/>
              </w:rPr>
              <w:t>柴油</w:t>
            </w:r>
          </w:p>
        </w:tc>
        <w:tc>
          <w:tcPr>
            <w:tcW w:w="1911" w:type="dxa"/>
            <w:shd w:val="clear" w:color="auto" w:fill="auto"/>
            <w:vAlign w:val="center"/>
          </w:tcPr>
          <w:p w14:paraId="28EF854B">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25BB060F">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sz w:val="21"/>
                <w:szCs w:val="21"/>
                <w:lang w:val="en-US" w:eastAsia="zh-CN" w:bidi="ar"/>
              </w:rPr>
              <w:t>马辉</w:t>
            </w:r>
          </w:p>
        </w:tc>
        <w:tc>
          <w:tcPr>
            <w:tcW w:w="2040" w:type="dxa"/>
            <w:shd w:val="clear" w:color="auto" w:fill="auto"/>
            <w:vAlign w:val="center"/>
          </w:tcPr>
          <w:p w14:paraId="4ED7BE4E">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爆炸</w:t>
            </w:r>
          </w:p>
        </w:tc>
      </w:tr>
      <w:tr w14:paraId="45BB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7034F03B">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default" w:ascii="仿宋_GB2312" w:hAnsi="仿宋_GB2312" w:eastAsia="仿宋_GB2312" w:cs="仿宋_GB2312"/>
                <w:color w:val="auto"/>
                <w:sz w:val="21"/>
                <w:szCs w:val="21"/>
                <w:lang w:val="en-US" w:eastAsia="zh-CN" w:bidi="ar"/>
              </w:rPr>
              <w:t>淮北市新蔡月明加油点</w:t>
            </w:r>
          </w:p>
        </w:tc>
        <w:tc>
          <w:tcPr>
            <w:tcW w:w="2475" w:type="dxa"/>
            <w:shd w:val="clear" w:color="auto" w:fill="auto"/>
            <w:vAlign w:val="center"/>
          </w:tcPr>
          <w:p w14:paraId="020DEC9E">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color w:val="auto"/>
                <w:sz w:val="21"/>
                <w:szCs w:val="21"/>
              </w:rPr>
              <w:t>淮北市烈山区新蔡月明加油点</w:t>
            </w:r>
          </w:p>
        </w:tc>
        <w:tc>
          <w:tcPr>
            <w:tcW w:w="2650" w:type="dxa"/>
            <w:shd w:val="clear" w:color="auto" w:fill="auto"/>
            <w:vAlign w:val="center"/>
          </w:tcPr>
          <w:p w14:paraId="0CE98CC5">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default" w:ascii="仿宋_GB2312" w:hAnsi="仿宋_GB2312" w:eastAsia="仿宋_GB2312" w:cs="仿宋_GB2312"/>
                <w:color w:val="auto"/>
                <w:sz w:val="21"/>
                <w:szCs w:val="21"/>
                <w:lang w:val="en-US" w:eastAsia="zh-CN" w:bidi="ar"/>
              </w:rPr>
              <w:t>柴油</w:t>
            </w:r>
          </w:p>
        </w:tc>
        <w:tc>
          <w:tcPr>
            <w:tcW w:w="1911" w:type="dxa"/>
            <w:shd w:val="clear" w:color="auto" w:fill="auto"/>
            <w:vAlign w:val="center"/>
          </w:tcPr>
          <w:p w14:paraId="51B7552C">
            <w:pPr>
              <w:keepNext w:val="0"/>
              <w:keepLines w:val="0"/>
              <w:widowControl/>
              <w:suppressLineNumbers w:val="0"/>
              <w:jc w:val="center"/>
              <w:rPr>
                <w:rFonts w:hint="default"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388D0206">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default" w:ascii="仿宋_GB2312" w:hAnsi="仿宋_GB2312" w:eastAsia="仿宋_GB2312" w:cs="仿宋_GB2312"/>
                <w:color w:val="auto"/>
                <w:sz w:val="21"/>
                <w:szCs w:val="21"/>
                <w:lang w:val="en-US" w:eastAsia="zh-CN" w:bidi="ar"/>
              </w:rPr>
              <w:t>张月明</w:t>
            </w:r>
          </w:p>
        </w:tc>
        <w:tc>
          <w:tcPr>
            <w:tcW w:w="2040" w:type="dxa"/>
            <w:shd w:val="clear" w:color="auto" w:fill="auto"/>
            <w:vAlign w:val="center"/>
          </w:tcPr>
          <w:p w14:paraId="7E25DCF8">
            <w:pPr>
              <w:keepNext w:val="0"/>
              <w:keepLines w:val="0"/>
              <w:widowControl/>
              <w:suppressLineNumbers w:val="0"/>
              <w:jc w:val="center"/>
              <w:rPr>
                <w:rFonts w:hint="eastAsia" w:ascii="仿宋_GB2312" w:hAnsi="仿宋_GB2312" w:eastAsia="仿宋_GB2312" w:cs="仿宋_GB2312"/>
                <w:color w:val="auto"/>
                <w:kern w:val="0"/>
                <w:sz w:val="21"/>
                <w:szCs w:val="21"/>
                <w:lang w:val="en-US" w:eastAsia="zh-CN" w:bidi="ar"/>
              </w:rPr>
            </w:pPr>
            <w:r>
              <w:rPr>
                <w:rFonts w:hint="eastAsia" w:ascii="仿宋_GB2312" w:hAnsi="仿宋_GB2312" w:cs="仿宋_GB2312"/>
                <w:color w:val="auto"/>
                <w:kern w:val="0"/>
                <w:sz w:val="21"/>
                <w:szCs w:val="21"/>
                <w:lang w:val="en-US" w:eastAsia="zh-CN" w:bidi="ar"/>
              </w:rPr>
              <w:t>爆炸</w:t>
            </w:r>
          </w:p>
        </w:tc>
      </w:tr>
      <w:tr w14:paraId="2675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455D2CF6">
            <w:pPr>
              <w:wordWrap w:val="0"/>
              <w:spacing w:before="0" w:after="0" w:line="160" w:lineRule="atLeast"/>
              <w:ind w:left="0" w:leftChars="0" w:right="0" w:right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i w:val="0"/>
                <w:strike w:val="0"/>
                <w:color w:val="000000"/>
                <w:sz w:val="21"/>
                <w:szCs w:val="21"/>
              </w:rPr>
              <w:t>淮北市烈山区烈山镇张桥加油站</w:t>
            </w:r>
          </w:p>
        </w:tc>
        <w:tc>
          <w:tcPr>
            <w:tcW w:w="2475" w:type="dxa"/>
            <w:shd w:val="clear" w:color="auto" w:fill="auto"/>
            <w:vAlign w:val="center"/>
          </w:tcPr>
          <w:p w14:paraId="79FAB8AC">
            <w:pPr>
              <w:wordWrap w:val="0"/>
              <w:spacing w:before="0" w:after="0" w:line="160" w:lineRule="atLeast"/>
              <w:ind w:left="0" w:leftChars="0" w:right="0" w:right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i w:val="0"/>
                <w:strike w:val="0"/>
                <w:color w:val="000000"/>
                <w:sz w:val="21"/>
                <w:szCs w:val="21"/>
              </w:rPr>
              <w:t>烈山区烈山镇新南村</w:t>
            </w:r>
            <w:r>
              <w:rPr>
                <w:rFonts w:hint="eastAsia" w:ascii="仿宋_GB2312" w:hAnsi="仿宋_GB2312" w:cs="仿宋_GB2312"/>
                <w:b w:val="0"/>
                <w:i w:val="0"/>
                <w:strike w:val="0"/>
                <w:color w:val="000000"/>
                <w:sz w:val="21"/>
                <w:szCs w:val="21"/>
                <w:lang w:val="en-US" w:eastAsia="zh-CN"/>
              </w:rPr>
              <w:t>X</w:t>
            </w:r>
            <w:r>
              <w:rPr>
                <w:rFonts w:hint="eastAsia" w:ascii="仿宋_GB2312" w:hAnsi="仿宋_GB2312" w:eastAsia="仿宋_GB2312" w:cs="仿宋_GB2312"/>
                <w:b w:val="0"/>
                <w:i w:val="0"/>
                <w:strike w:val="0"/>
                <w:color w:val="000000"/>
                <w:sz w:val="21"/>
                <w:szCs w:val="21"/>
              </w:rPr>
              <w:t>013县道</w:t>
            </w:r>
            <w:r>
              <w:rPr>
                <w:rFonts w:hint="eastAsia" w:ascii="仿宋_GB2312" w:hAnsi="仿宋_GB2312" w:cs="仿宋_GB2312"/>
                <w:b w:val="0"/>
                <w:i w:val="0"/>
                <w:strike w:val="0"/>
                <w:color w:val="000000"/>
                <w:sz w:val="21"/>
                <w:szCs w:val="21"/>
                <w:lang w:eastAsia="zh-CN"/>
              </w:rPr>
              <w:t>（</w:t>
            </w:r>
            <w:r>
              <w:rPr>
                <w:rFonts w:hint="eastAsia" w:ascii="仿宋_GB2312" w:hAnsi="仿宋_GB2312" w:eastAsia="仿宋_GB2312" w:cs="仿宋_GB2312"/>
                <w:b w:val="0"/>
                <w:i w:val="0"/>
                <w:strike w:val="0"/>
                <w:color w:val="000000"/>
                <w:sz w:val="21"/>
                <w:szCs w:val="21"/>
              </w:rPr>
              <w:t>宁山路</w:t>
            </w:r>
            <w:r>
              <w:rPr>
                <w:rFonts w:hint="eastAsia" w:ascii="仿宋_GB2312" w:hAnsi="仿宋_GB2312" w:cs="仿宋_GB2312"/>
                <w:b w:val="0"/>
                <w:i w:val="0"/>
                <w:strike w:val="0"/>
                <w:color w:val="000000"/>
                <w:sz w:val="21"/>
                <w:szCs w:val="21"/>
                <w:lang w:eastAsia="zh-CN"/>
              </w:rPr>
              <w:t>）</w:t>
            </w:r>
            <w:r>
              <w:rPr>
                <w:rFonts w:hint="eastAsia" w:ascii="仿宋_GB2312" w:hAnsi="仿宋_GB2312" w:eastAsia="仿宋_GB2312" w:cs="仿宋_GB2312"/>
                <w:b w:val="0"/>
                <w:i w:val="0"/>
                <w:strike w:val="0"/>
                <w:color w:val="000000"/>
                <w:sz w:val="21"/>
                <w:szCs w:val="21"/>
              </w:rPr>
              <w:t>与006乡道交口东北角</w:t>
            </w:r>
          </w:p>
        </w:tc>
        <w:tc>
          <w:tcPr>
            <w:tcW w:w="2650" w:type="dxa"/>
            <w:shd w:val="clear" w:color="auto" w:fill="auto"/>
            <w:vAlign w:val="center"/>
          </w:tcPr>
          <w:p w14:paraId="450C880E">
            <w:pPr>
              <w:wordWrap w:val="0"/>
              <w:spacing w:before="0" w:after="0" w:line="160" w:lineRule="atLeast"/>
              <w:ind w:left="0" w:leftChars="0" w:right="0" w:right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i w:val="0"/>
                <w:strike w:val="0"/>
                <w:color w:val="000000"/>
                <w:sz w:val="21"/>
                <w:szCs w:val="21"/>
              </w:rPr>
              <w:t>汽油、柴油、煤油</w:t>
            </w:r>
          </w:p>
        </w:tc>
        <w:tc>
          <w:tcPr>
            <w:tcW w:w="1911" w:type="dxa"/>
            <w:shd w:val="clear" w:color="auto" w:fill="auto"/>
            <w:vAlign w:val="center"/>
          </w:tcPr>
          <w:p w14:paraId="17D894DB">
            <w:pPr>
              <w:wordWrap w:val="0"/>
              <w:spacing w:before="0" w:after="0" w:line="160" w:lineRule="atLeast"/>
              <w:ind w:left="0" w:leftChars="0" w:right="0" w:rightChars="0"/>
              <w:jc w:val="center"/>
              <w:textAlignment w:val="baseline"/>
              <w:rPr>
                <w:rFonts w:hint="default" w:ascii="仿宋_GB2312" w:hAnsi="仿宋_GB2312" w:eastAsia="仿宋_GB2312" w:cs="仿宋_GB2312"/>
                <w:kern w:val="2"/>
                <w:sz w:val="21"/>
                <w:szCs w:val="21"/>
                <w:lang w:val="en-US" w:eastAsia="zh-CN" w:bidi="ar-SA"/>
              </w:rPr>
            </w:pPr>
            <w:r>
              <w:rPr>
                <w:rFonts w:hint="eastAsia" w:ascii="仿宋_GB2312" w:hAnsi="仿宋_GB2312" w:cs="仿宋_GB2312"/>
                <w:kern w:val="2"/>
                <w:sz w:val="21"/>
                <w:szCs w:val="21"/>
                <w:lang w:val="en-US" w:eastAsia="zh-CN" w:bidi="ar-SA"/>
              </w:rPr>
              <w:t>/</w:t>
            </w:r>
          </w:p>
        </w:tc>
        <w:tc>
          <w:tcPr>
            <w:tcW w:w="1250" w:type="dxa"/>
            <w:shd w:val="clear" w:color="auto" w:fill="auto"/>
            <w:vAlign w:val="center"/>
          </w:tcPr>
          <w:p w14:paraId="5F23ED89">
            <w:pPr>
              <w:wordWrap w:val="0"/>
              <w:spacing w:before="0" w:after="0" w:line="160" w:lineRule="atLeast"/>
              <w:ind w:left="0" w:leftChars="0" w:right="0" w:right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i w:val="0"/>
                <w:strike w:val="0"/>
                <w:color w:val="000000"/>
                <w:sz w:val="21"/>
                <w:szCs w:val="21"/>
              </w:rPr>
              <w:t>张卫忠</w:t>
            </w:r>
          </w:p>
        </w:tc>
        <w:tc>
          <w:tcPr>
            <w:tcW w:w="2040" w:type="dxa"/>
            <w:shd w:val="clear" w:color="auto" w:fill="auto"/>
            <w:vAlign w:val="center"/>
          </w:tcPr>
          <w:p w14:paraId="5EC39AD4">
            <w:pPr>
              <w:wordWrap w:val="0"/>
              <w:spacing w:before="0" w:after="0" w:line="160" w:lineRule="atLeast"/>
              <w:ind w:left="0" w:leftChars="0" w:right="0" w:rightChars="0"/>
              <w:jc w:val="center"/>
              <w:textAlignment w:val="baseline"/>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b w:val="0"/>
                <w:i w:val="0"/>
                <w:strike w:val="0"/>
                <w:color w:val="000000"/>
                <w:sz w:val="21"/>
                <w:szCs w:val="21"/>
              </w:rPr>
              <w:t>火灾、爆炸、中毒、窒息</w:t>
            </w:r>
          </w:p>
        </w:tc>
      </w:tr>
      <w:tr w14:paraId="1BE1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150" w:type="dxa"/>
            <w:shd w:val="clear" w:color="auto" w:fill="auto"/>
            <w:vAlign w:val="center"/>
          </w:tcPr>
          <w:p w14:paraId="6B96545C">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中国石化销售股份有限公司淮北雷河加油站</w:t>
            </w:r>
          </w:p>
        </w:tc>
        <w:tc>
          <w:tcPr>
            <w:tcW w:w="2475" w:type="dxa"/>
            <w:shd w:val="clear" w:color="auto" w:fill="auto"/>
            <w:vAlign w:val="center"/>
          </w:tcPr>
          <w:p w14:paraId="03753163">
            <w:pPr>
              <w:pStyle w:val="12"/>
              <w:ind w:left="0" w:leftChars="0" w:firstLine="0" w:firstLineChars="0"/>
              <w:jc w:val="center"/>
              <w:rPr>
                <w:rFonts w:hint="eastAsia" w:ascii="仿宋_GB2312" w:hAnsi="仿宋_GB2312" w:eastAsia="仿宋_GB2312" w:cs="仿宋_GB2312"/>
                <w:color w:val="000000"/>
                <w:kern w:val="0"/>
                <w:sz w:val="21"/>
                <w:szCs w:val="21"/>
                <w:vertAlign w:val="baseli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安徽省淮北市烈山区烈山镇宿丁路</w:t>
            </w:r>
            <w:r>
              <w:rPr>
                <w:rFonts w:hint="eastAsia"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S101省道</w:t>
            </w:r>
            <w:r>
              <w:rPr>
                <w:rFonts w:hint="eastAsia" w:hAnsi="仿宋_GB2312" w:cs="仿宋_GB2312"/>
                <w:i w:val="0"/>
                <w:iCs w:val="0"/>
                <w:color w:val="000000"/>
                <w:kern w:val="0"/>
                <w:sz w:val="21"/>
                <w:szCs w:val="21"/>
                <w:u w:val="none"/>
                <w:lang w:val="en-US" w:eastAsia="zh-CN" w:bidi="ar"/>
              </w:rPr>
              <w:t>）</w:t>
            </w:r>
            <w:r>
              <w:rPr>
                <w:rFonts w:hint="eastAsia" w:ascii="仿宋_GB2312" w:hAnsi="仿宋_GB2312" w:eastAsia="仿宋_GB2312" w:cs="仿宋_GB2312"/>
                <w:i w:val="0"/>
                <w:iCs w:val="0"/>
                <w:color w:val="000000"/>
                <w:kern w:val="0"/>
                <w:sz w:val="21"/>
                <w:szCs w:val="21"/>
                <w:u w:val="none"/>
                <w:lang w:val="en-US" w:eastAsia="zh-CN" w:bidi="ar"/>
              </w:rPr>
              <w:t>与沿河路交口西60米处南侧</w:t>
            </w:r>
          </w:p>
        </w:tc>
        <w:tc>
          <w:tcPr>
            <w:tcW w:w="2650" w:type="dxa"/>
            <w:shd w:val="clear" w:color="auto" w:fill="auto"/>
            <w:vAlign w:val="center"/>
          </w:tcPr>
          <w:p w14:paraId="473C68AF">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汽油、柴油</w:t>
            </w:r>
          </w:p>
        </w:tc>
        <w:tc>
          <w:tcPr>
            <w:tcW w:w="1911" w:type="dxa"/>
            <w:shd w:val="clear" w:color="auto" w:fill="auto"/>
            <w:vAlign w:val="center"/>
          </w:tcPr>
          <w:p w14:paraId="0EF17D2F">
            <w:pPr>
              <w:ind w:left="0" w:leftChars="0" w:firstLine="0" w:firstLineChars="0"/>
              <w:jc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cs="仿宋_GB2312"/>
                <w:color w:val="auto"/>
                <w:kern w:val="0"/>
                <w:sz w:val="21"/>
                <w:szCs w:val="21"/>
                <w:lang w:val="en-US" w:eastAsia="zh-CN" w:bidi="ar"/>
              </w:rPr>
              <w:t>/</w:t>
            </w:r>
          </w:p>
        </w:tc>
        <w:tc>
          <w:tcPr>
            <w:tcW w:w="1250" w:type="dxa"/>
            <w:shd w:val="clear" w:color="auto" w:fill="auto"/>
            <w:vAlign w:val="center"/>
          </w:tcPr>
          <w:p w14:paraId="64FB7342">
            <w:pPr>
              <w:pStyle w:val="12"/>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屈晓娟</w:t>
            </w:r>
          </w:p>
        </w:tc>
        <w:tc>
          <w:tcPr>
            <w:tcW w:w="2040" w:type="dxa"/>
            <w:shd w:val="clear" w:color="auto" w:fill="auto"/>
            <w:vAlign w:val="center"/>
          </w:tcPr>
          <w:p w14:paraId="4C24D311">
            <w:pPr>
              <w:ind w:left="0" w:leftChars="0" w:firstLine="0" w:firstLineChars="0"/>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火灾、爆炸、中毒</w:t>
            </w:r>
          </w:p>
        </w:tc>
      </w:tr>
    </w:tbl>
    <w:p w14:paraId="06874EBD">
      <w:pPr>
        <w:sectPr>
          <w:pgSz w:w="16838" w:h="11906" w:orient="landscape"/>
          <w:pgMar w:top="1800" w:right="1440" w:bottom="1800" w:left="1440" w:header="851" w:footer="992" w:gutter="0"/>
          <w:cols w:space="425" w:num="1"/>
          <w:docGrid w:type="lines" w:linePitch="312" w:charSpace="0"/>
        </w:sectPr>
      </w:pPr>
    </w:p>
    <w:p w14:paraId="1C824FB1">
      <w:pPr>
        <w:pStyle w:val="12"/>
        <w:ind w:left="0" w:leftChars="0" w:firstLine="0" w:firstLineChars="0"/>
        <w:jc w:val="center"/>
        <w:rPr>
          <w:rFonts w:hint="eastAsia" w:ascii="楷体" w:hAnsi="楷体" w:eastAsia="楷体" w:cs="楷体"/>
          <w:b/>
          <w:bCs/>
          <w:spacing w:val="8"/>
          <w:kern w:val="2"/>
          <w:sz w:val="32"/>
          <w:szCs w:val="32"/>
          <w:lang w:val="en-US" w:eastAsia="zh-CN" w:bidi="ar-SA"/>
        </w:rPr>
      </w:pPr>
      <w:r>
        <w:rPr>
          <w:rFonts w:hint="eastAsia" w:ascii="楷体" w:hAnsi="楷体" w:eastAsia="楷体" w:cs="楷体"/>
          <w:b/>
          <w:bCs/>
          <w:spacing w:val="8"/>
          <w:kern w:val="2"/>
          <w:sz w:val="32"/>
          <w:szCs w:val="32"/>
          <w:lang w:val="en-US" w:eastAsia="zh-CN" w:bidi="ar-SA"/>
        </w:rPr>
        <w:t>附件7烈山区涉及危险化学品企业消防应急物资储备概况</w:t>
      </w:r>
    </w:p>
    <w:tbl>
      <w:tblPr>
        <w:tblStyle w:val="13"/>
        <w:tblW w:w="140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1"/>
        <w:gridCol w:w="3350"/>
        <w:gridCol w:w="10230"/>
      </w:tblGrid>
      <w:tr w14:paraId="7F07C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201E">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序号</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AD72B">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公司名称</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F2E33">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物资储备情况</w:t>
            </w:r>
          </w:p>
        </w:tc>
      </w:tr>
      <w:tr w14:paraId="71CBB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D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16AF">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安徽恒驰新型建材有限公司</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1D7A7">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应急灯、撬棍、扳手、消防锹、登高梯子、安全带、防护手套、雨鞋、防护镜、防火服、防毒面具、干粉灭火器、消防栓、消防水管</w:t>
            </w:r>
          </w:p>
        </w:tc>
      </w:tr>
      <w:tr w14:paraId="5F881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28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C24D8">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安徽钧涛电子科技有限公司</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521E">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安全带、雨鞋、防尘口罩、干粉灭火器、消防栓箱、消防栓、摄像头、显示器、对讲机、应急照明灯、安全帽、手电筒、救护药箱、纱布、创可贴、酒精、碘伏、防毒面具</w:t>
            </w:r>
          </w:p>
        </w:tc>
      </w:tr>
      <w:tr w14:paraId="6FADE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84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EEA05">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安徽明旭食品有限公司生产部</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33B18">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铁锹、灭火器</w:t>
            </w:r>
          </w:p>
        </w:tc>
      </w:tr>
      <w:tr w14:paraId="6A8B0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37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DA21">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和晶科技</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F7F5">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铁锹、救援担架、安全带、救生绳、撬棍、安全帽、防护服、急救药箱、干粉灭火器、CO2灭火器、消防沙</w:t>
            </w:r>
          </w:p>
        </w:tc>
      </w:tr>
      <w:tr w14:paraId="75986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FF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B876">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金龙机电（淮北）有限公司</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3C09">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灭火器、消防水带、医药箱、对讲机、救援担架、喊话喇叭、消防救援服、吸水泵、消防沙、消防铲、应急照明灯、火灾显示盘、消防主机、消防水池</w:t>
            </w:r>
          </w:p>
        </w:tc>
      </w:tr>
      <w:tr w14:paraId="1E78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8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11D4E">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安徽宝迪肉类食品有限公司</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C969D">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急救箱、干粉灭火器、防爆电筒、消防铲、</w:t>
            </w:r>
            <w:r>
              <w:rPr>
                <w:rFonts w:hint="eastAsia" w:ascii="仿宋_GB2312" w:hAnsi="仿宋_GB2312" w:cs="仿宋_GB2312"/>
                <w:i w:val="0"/>
                <w:iCs w:val="0"/>
                <w:color w:val="000000"/>
                <w:kern w:val="0"/>
                <w:sz w:val="24"/>
                <w:szCs w:val="24"/>
                <w:u w:val="none"/>
                <w:lang w:val="en-US" w:eastAsia="zh-CN" w:bidi="ar"/>
              </w:rPr>
              <w:t>担架</w:t>
            </w:r>
            <w:r>
              <w:rPr>
                <w:rFonts w:hint="eastAsia" w:ascii="仿宋_GB2312" w:hAnsi="仿宋_GB2312" w:eastAsia="仿宋_GB2312" w:cs="仿宋_GB2312"/>
                <w:i w:val="0"/>
                <w:iCs w:val="0"/>
                <w:color w:val="000000"/>
                <w:kern w:val="0"/>
                <w:sz w:val="24"/>
                <w:szCs w:val="24"/>
                <w:u w:val="none"/>
                <w:lang w:val="en-US" w:eastAsia="zh-CN" w:bidi="ar"/>
              </w:rPr>
              <w:t>、安全绳、消防沙、沙袋、安全帽、应急照明灯</w:t>
            </w:r>
          </w:p>
        </w:tc>
      </w:tr>
      <w:tr w14:paraId="53C20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55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396A">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安徽亚太洗涤用品有限公司</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2C61A">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铁锹、干粉灭火器、消防栓、应急灯、防毒面具、消防疏散图、对讲机、急救药箱、硬质担架、安全帽、手电筒、防火靴、防火服、消防沙、各种警示</w:t>
            </w:r>
          </w:p>
        </w:tc>
      </w:tr>
      <w:tr w14:paraId="1D17F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13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9EC03">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安徽科宝生物工程有限公司</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65D6">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消防水带、铁锹、ABC干粉灭火器35kg推车式、ABC干粉灭火器4kg手提式、防毒口罩、正压式空气呼吸器</w:t>
            </w:r>
          </w:p>
        </w:tc>
      </w:tr>
      <w:tr w14:paraId="048E1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D7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59C2">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申皖、申能发电</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EED49">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车、手提式灭火器（干粉、二氧化碳）、潜水泵WQ15-40-5.5L1、防雨布、防汛水袋3寸、6寸水带、2寸水带、可充电式移动泛光灯、移动电源盘、塑料布2米幅面、镀锌铁丝、雨衣、铁锹、铁镐、编织袋、手提强光灯、彩条布、手电（可充电式）、可充电式移动泛光灯、电源航空插头、电源航空插头、防爆型电源航空插头、防爆型电源航空插头、雨鞋</w:t>
            </w:r>
          </w:p>
        </w:tc>
      </w:tr>
      <w:tr w14:paraId="4999B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03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25AF4">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淮北国安电力有限公司</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5ED3">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消防车</w:t>
            </w:r>
          </w:p>
        </w:tc>
      </w:tr>
      <w:tr w14:paraId="1B8AF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E57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7D9C">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大唐淮北发电分公司</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F32C">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防爆电筒、正压式消防空气呼吸器、灭火防护服、消防手套、对讲机、消防车、灭火器、消防头盔、消防靴</w:t>
            </w:r>
          </w:p>
        </w:tc>
      </w:tr>
      <w:tr w14:paraId="6B5C4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F2BD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27CD">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中石油青龙山加油站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1DC8">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铁锹、消防沙、消防桶、二氧化碳灭火器、干粉灭火器35Kg、手提式干粉灭火器5KG</w:t>
            </w:r>
          </w:p>
        </w:tc>
      </w:tr>
      <w:tr w14:paraId="390EF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E9A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BFED">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中石油烈东加油站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BB97">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铁锹、消防沙、消防桶、二氧化碳灭火器、干粉灭火器35Kg、手提式干粉灭火器5KG</w:t>
            </w:r>
          </w:p>
        </w:tc>
      </w:tr>
      <w:tr w14:paraId="005B1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DDE5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1C7B4">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中石油交通加油站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F044">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消防铲、消防沙、灭火器、灭火毯、消防桶</w:t>
            </w:r>
          </w:p>
        </w:tc>
      </w:tr>
      <w:tr w14:paraId="391A0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2FB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CA9E5">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中石油东外环西加油站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FBD12">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消防铲、消防沙、灭火器、灭火毯、消防桶</w:t>
            </w:r>
          </w:p>
        </w:tc>
      </w:tr>
      <w:tr w14:paraId="1ECDB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56D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6E7C">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中石油闸河加油站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E483">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铁锹、消防沙、消防桶、二氧化碳灭火器、干粉灭火器35Kg、手提式干粉灭火器5KG</w:t>
            </w:r>
          </w:p>
        </w:tc>
      </w:tr>
      <w:tr w14:paraId="71138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420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E0810">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中石化马桥加油站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B4D1">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消防锹、5GK灭火器、35公斤推车式灭火器、急救包、灭火毯</w:t>
            </w:r>
          </w:p>
        </w:tc>
      </w:tr>
      <w:tr w14:paraId="75E39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A0EA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ECAA">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中石化梧桐中路加油一站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45A8">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消防锹、5GK灭火器、35公斤推车式灭火器、急救包、灭火毯</w:t>
            </w:r>
          </w:p>
        </w:tc>
      </w:tr>
      <w:tr w14:paraId="6071B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5B6C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4AB58">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中石化传化公路港加油站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D883">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消防锹、5GK灭火器、35公斤推车式灭火器、急救包、灭火毯</w:t>
            </w:r>
          </w:p>
        </w:tc>
      </w:tr>
      <w:tr w14:paraId="40546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D4D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1B3AB">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中石化烈山加油站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9DE3">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消防锹、5GK灭火器、35公斤推车式灭火器、急救包、灭火毯</w:t>
            </w:r>
          </w:p>
        </w:tc>
      </w:tr>
      <w:tr w14:paraId="59CD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B6EA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5F36D">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中石化宋疃加油站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3925">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消防锹、5GK灭火器、35公斤推车式灭火器、急救包、灭火毯</w:t>
            </w:r>
          </w:p>
        </w:tc>
      </w:tr>
      <w:tr w14:paraId="10D82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468B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CDE7A">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中石化雷河加油站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336A">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消防锹、5GK灭火器、35公斤推车式灭火器、急救包、灭火毯</w:t>
            </w:r>
          </w:p>
        </w:tc>
      </w:tr>
      <w:tr w14:paraId="230BD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0351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FA15">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中石化沱河东路加油站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E2DF">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消防锹、5GK灭火器、35公斤推车式灭火器、急救包、灭火毯</w:t>
            </w:r>
          </w:p>
        </w:tc>
      </w:tr>
      <w:tr w14:paraId="6B36E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3B8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4003C">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中石化杨庄加油站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5ECD">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消防锹、5GK灭火器、35公斤推车式灭火器、急救包、灭火毯</w:t>
            </w:r>
          </w:p>
        </w:tc>
      </w:tr>
      <w:tr w14:paraId="4E6D4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95FD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D6D3">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中石化东外环加油站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02C79">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消防锹、5GK灭火器、35公斤推车式灭火器、急救包、灭火毯</w:t>
            </w:r>
          </w:p>
        </w:tc>
      </w:tr>
      <w:tr w14:paraId="531EB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9DB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841C">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中海油加油站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680D4">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铝锹、消防桶、消防沙、消防毯、35公斤推车式干粉灭火器、5公斤手提式干粉灭火器、4公斤手提式干粉灭火器、2公斤手提式二氧化碳灭火器</w:t>
            </w:r>
          </w:p>
        </w:tc>
      </w:tr>
      <w:tr w14:paraId="01074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2B0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5360">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鑫宇加油站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D9F9">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手提式干粉灭火器、手提式二氧化碳灭火器、手提式干粉灭火器5公斤、灭火毯、消防沙、推车式干粉灭火器、消防锹、消防桶、急救药品</w:t>
            </w:r>
          </w:p>
        </w:tc>
      </w:tr>
      <w:tr w14:paraId="0E812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F45F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E6D29">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淮北市古饶赵侠刁山加油点</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DFDD">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铁锹、灭火毯、干粉灭火器、消防沙、消防水桶</w:t>
            </w:r>
          </w:p>
        </w:tc>
      </w:tr>
      <w:tr w14:paraId="62DBE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465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3040">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淮北市烈山区新世纪加油站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9E3C">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消防铲、灭火器、消防沙、灭火毯、应急灯、强光手电、消防水桶</w:t>
            </w:r>
          </w:p>
        </w:tc>
      </w:tr>
      <w:tr w14:paraId="1BAAE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774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DE100">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金侨加油站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1A10">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消防铲、消防桶、35公斤推车式干粉灭火器、8公斤手提式干粉灭火器、4公斤手提式干粉灭火器、2公斤二氧化碳灭火器、灭火毯、消防沙</w:t>
            </w:r>
          </w:p>
        </w:tc>
      </w:tr>
      <w:tr w14:paraId="71065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964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C82A">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淮北市烈山区硕成加油站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E6EC">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消防铲</w:t>
            </w:r>
            <w:r>
              <w:rPr>
                <w:rFonts w:hint="eastAsia" w:ascii="仿宋_GB2312" w:hAnsi="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消防桶、灭火毯、手提式干粉灭火器、推车式干粉灭火器、消防沙池、二氧化碳灭火器</w:t>
            </w:r>
          </w:p>
        </w:tc>
      </w:tr>
      <w:tr w14:paraId="3CC11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752C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8E95">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淮北市古饶秦闸加油站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CFAC">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手提式水基型灭火器（3公斤）、手提式二氧化碳灭火器（3公斤）、手提式干粉灭火器（5公斤）、推车式干粉灭火器（35公斤）、灭火毯、铁锹、铁斧、消防桶、绝缘胶靴、绝缘手套、绝缘服</w:t>
            </w:r>
          </w:p>
        </w:tc>
      </w:tr>
      <w:tr w14:paraId="36642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1FD7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2E0D">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淮北市宋疃镇马桥卫东加油点</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846B5">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铁锹、灭火毯、干粉灭火器、消防沙、消防水桶</w:t>
            </w:r>
          </w:p>
        </w:tc>
      </w:tr>
      <w:tr w14:paraId="4F28F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C81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02431">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淮北市烈山区古饶加油站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3B61">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消防铲、消防沙、干粉灭火器、推车式干粉灭火器、二氧化碳灭火器、防爆手电、应急灯、灭火毯</w:t>
            </w:r>
          </w:p>
        </w:tc>
      </w:tr>
      <w:tr w14:paraId="511AC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669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8362">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淮北市烈山区烈山镇张桥加油站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43AC">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铁锹、35公斤推车式灭</w:t>
            </w:r>
            <w:r>
              <w:rPr>
                <w:rFonts w:hint="eastAsia" w:ascii="仿宋_GB2312" w:hAnsi="仿宋_GB2312" w:cs="仿宋_GB2312"/>
                <w:i w:val="0"/>
                <w:iCs w:val="0"/>
                <w:color w:val="000000"/>
                <w:kern w:val="0"/>
                <w:sz w:val="24"/>
                <w:szCs w:val="24"/>
                <w:u w:val="none"/>
                <w:lang w:val="en-US" w:eastAsia="zh-CN" w:bidi="ar"/>
              </w:rPr>
              <w:t>火器</w:t>
            </w:r>
            <w:r>
              <w:rPr>
                <w:rFonts w:hint="eastAsia" w:ascii="仿宋_GB2312" w:hAnsi="仿宋_GB2312" w:eastAsia="仿宋_GB2312" w:cs="仿宋_GB2312"/>
                <w:i w:val="0"/>
                <w:iCs w:val="0"/>
                <w:color w:val="000000"/>
                <w:kern w:val="0"/>
                <w:sz w:val="24"/>
                <w:szCs w:val="24"/>
                <w:u w:val="none"/>
                <w:lang w:val="en-US" w:eastAsia="zh-CN" w:bidi="ar"/>
              </w:rPr>
              <w:t>、5公斤手提式干粉灭火器、4公斤手提式干粉灭火器、3公斤二氧化碳灭火器、灭火毯、消防沙</w:t>
            </w:r>
          </w:p>
        </w:tc>
      </w:tr>
      <w:tr w14:paraId="3BDD3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CC1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1E54">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淮北盛顺达工贸有限责任公司加油站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85D3">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消防铲、消防桶、35公斤推车式干粉灭火器、5公斤手提式干粉灭火器、4公斤手提式干粉灭火器、3公斤二氧化碳灭火器、灭火毯、消防沙</w:t>
            </w:r>
          </w:p>
        </w:tc>
      </w:tr>
      <w:tr w14:paraId="42E48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6D95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1C9DE">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淮北市新蔡月明加油点</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6A91">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铁锹、灭火毯、干粉灭火器、消防沙、消防水桶</w:t>
            </w:r>
          </w:p>
        </w:tc>
      </w:tr>
      <w:tr w14:paraId="439E5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1C58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38</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4052">
            <w:pPr>
              <w:keepNext w:val="0"/>
              <w:keepLines w:val="0"/>
              <w:widowControl/>
              <w:suppressLineNumbers w:val="0"/>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烈山区赵集加油站</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BB4A">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消防梯、消防铲、消防沙、消防水桶、灭火毯、灭火器、应急灯、强光手电</w:t>
            </w:r>
          </w:p>
        </w:tc>
      </w:tr>
      <w:tr w14:paraId="18E85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21FE">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39</w:t>
            </w:r>
          </w:p>
        </w:tc>
        <w:tc>
          <w:tcPr>
            <w:tcW w:w="3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3B40">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b w:val="0"/>
                <w:bCs w:val="0"/>
                <w:spacing w:val="8"/>
                <w:kern w:val="2"/>
                <w:sz w:val="24"/>
                <w:szCs w:val="24"/>
                <w:vertAlign w:val="baseline"/>
                <w:lang w:val="en-US" w:eastAsia="zh-CN" w:bidi="ar-SA"/>
              </w:rPr>
              <w:t>淮北市瑞祥烟花爆竹公司</w:t>
            </w:r>
          </w:p>
        </w:tc>
        <w:tc>
          <w:tcPr>
            <w:tcW w:w="10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D1A0B">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手摇报警器、消防泵、灭火器、消防带、发电机、急救箱、强力照明灯、消防枪头、油锯</w:t>
            </w:r>
          </w:p>
        </w:tc>
      </w:tr>
    </w:tbl>
    <w:p w14:paraId="44890050">
      <w:pPr>
        <w:pStyle w:val="12"/>
        <w:ind w:left="0" w:leftChars="0" w:firstLine="0" w:firstLineChars="0"/>
        <w:jc w:val="center"/>
        <w:rPr>
          <w:rFonts w:hint="default" w:ascii="楷体" w:hAnsi="楷体" w:eastAsia="楷体" w:cs="楷体"/>
          <w:b/>
          <w:bCs/>
          <w:spacing w:val="8"/>
          <w:kern w:val="2"/>
          <w:sz w:val="32"/>
          <w:szCs w:val="32"/>
          <w:lang w:val="en-US" w:eastAsia="zh-CN" w:bidi="ar-SA"/>
        </w:rPr>
        <w:sectPr>
          <w:footerReference r:id="rId5"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13B65EE3">
      <w:pPr>
        <w:pStyle w:val="12"/>
        <w:ind w:left="0" w:leftChars="0" w:firstLine="0" w:firstLineChars="0"/>
        <w:jc w:val="center"/>
        <w:rPr>
          <w:rFonts w:hint="default" w:ascii="楷体" w:hAnsi="楷体" w:eastAsia="楷体" w:cs="楷体"/>
          <w:b/>
          <w:bCs/>
          <w:spacing w:val="8"/>
          <w:kern w:val="2"/>
          <w:sz w:val="32"/>
          <w:szCs w:val="32"/>
          <w:lang w:val="en-US" w:eastAsia="zh-CN" w:bidi="ar-SA"/>
        </w:rPr>
      </w:pPr>
      <w:r>
        <w:rPr>
          <w:rFonts w:hint="eastAsia" w:ascii="楷体" w:hAnsi="楷体" w:eastAsia="楷体" w:cs="楷体"/>
          <w:b/>
          <w:bCs/>
          <w:spacing w:val="8"/>
          <w:kern w:val="2"/>
          <w:sz w:val="32"/>
          <w:szCs w:val="32"/>
          <w:lang w:val="en-US" w:eastAsia="zh-CN" w:bidi="ar-SA"/>
        </w:rPr>
        <w:t>附件7烈山区涉及危险化学品企业分布图</w:t>
      </w:r>
      <w:r>
        <w:rPr>
          <w:rFonts w:hint="default" w:ascii="楷体" w:hAnsi="楷体" w:eastAsia="楷体" w:cs="楷体"/>
          <w:b/>
          <w:bCs/>
          <w:spacing w:val="8"/>
          <w:kern w:val="2"/>
          <w:sz w:val="32"/>
          <w:szCs w:val="32"/>
          <w:lang w:val="en-US" w:eastAsia="zh-CN" w:bidi="ar-SA"/>
        </w:rPr>
        <w:drawing>
          <wp:anchor distT="0" distB="0" distL="114300" distR="114300" simplePos="0" relativeHeight="251659264" behindDoc="0" locked="0" layoutInCell="1" allowOverlap="1">
            <wp:simplePos x="0" y="0"/>
            <wp:positionH relativeFrom="column">
              <wp:posOffset>-169545</wp:posOffset>
            </wp:positionH>
            <wp:positionV relativeFrom="paragraph">
              <wp:posOffset>690245</wp:posOffset>
            </wp:positionV>
            <wp:extent cx="5824220" cy="7567930"/>
            <wp:effectExtent l="0" t="0" r="5080" b="13970"/>
            <wp:wrapSquare wrapText="bothSides"/>
            <wp:docPr id="7" name="图片 7" descr="Rectangle_#4_电子地图_Level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Rectangle_#4_电子地图_Level_15"/>
                    <pic:cNvPicPr>
                      <a:picLocks noChangeAspect="1"/>
                    </pic:cNvPicPr>
                  </pic:nvPicPr>
                  <pic:blipFill>
                    <a:blip r:embed="rId8"/>
                    <a:stretch>
                      <a:fillRect/>
                    </a:stretch>
                  </pic:blipFill>
                  <pic:spPr>
                    <a:xfrm>
                      <a:off x="0" y="0"/>
                      <a:ext cx="5824220" cy="7567930"/>
                    </a:xfrm>
                    <a:prstGeom prst="rect">
                      <a:avLst/>
                    </a:prstGeom>
                  </pic:spPr>
                </pic:pic>
              </a:graphicData>
            </a:graphic>
          </wp:anchor>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49DE">
    <w:pPr>
      <w:pStyle w:val="5"/>
      <w:tabs>
        <w:tab w:val="center" w:pos="6378"/>
        <w:tab w:val="clear" w:pos="4153"/>
      </w:tabs>
      <w:jc w:val="both"/>
      <w:rPr>
        <w:rFonts w:hint="default"/>
        <w:sz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B40541">
                          <w:pPr>
                            <w:pStyle w:val="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EB40541">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09EF47">
                          <w:pPr>
                            <w:pStyle w:val="5"/>
                            <w:rPr>
                              <w:rFonts w:hint="default" w:eastAsia="仿宋_GB2312"/>
                              <w:lang w:val="en-US"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1B09EF47">
                    <w:pPr>
                      <w:pStyle w:val="5"/>
                      <w:rPr>
                        <w:rFonts w:hint="default" w:eastAsia="仿宋_GB2312"/>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60ED9">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207984">
                          <w:pPr>
                            <w:pStyle w:val="5"/>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D207984">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760BA">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CBCE8">
                          <w:pPr>
                            <w:pStyle w:val="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89CBCE8">
                    <w:pPr>
                      <w:pStyle w:val="5"/>
                    </w:pPr>
                    <w:r>
                      <w:fldChar w:fldCharType="begin"/>
                    </w:r>
                    <w:r>
                      <w:instrText xml:space="preserve"> PAGE  \* MERGEFORMAT </w:instrText>
                    </w:r>
                    <w:r>
                      <w:fldChar w:fldCharType="separate"/>
                    </w:r>
                    <w:r>
                      <w:t>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1C482C"/>
    <w:multiLevelType w:val="singleLevel"/>
    <w:tmpl w:val="651C482C"/>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wZjg5NTdjZGFkZDRhMjQ0Y2E2MGE2ZTNkZDBhMTgifQ=="/>
  </w:docVars>
  <w:rsids>
    <w:rsidRoot w:val="49222AE3"/>
    <w:rsid w:val="027D172A"/>
    <w:rsid w:val="03BC42C0"/>
    <w:rsid w:val="04CB706F"/>
    <w:rsid w:val="0D340FEE"/>
    <w:rsid w:val="11537B7A"/>
    <w:rsid w:val="14521516"/>
    <w:rsid w:val="19B14682"/>
    <w:rsid w:val="1F896CFC"/>
    <w:rsid w:val="20A77629"/>
    <w:rsid w:val="25BE528E"/>
    <w:rsid w:val="264D6D44"/>
    <w:rsid w:val="269F4BCE"/>
    <w:rsid w:val="28460390"/>
    <w:rsid w:val="2DBD12D6"/>
    <w:rsid w:val="2E325CBF"/>
    <w:rsid w:val="30A94C44"/>
    <w:rsid w:val="320A0B42"/>
    <w:rsid w:val="325D5912"/>
    <w:rsid w:val="35670F33"/>
    <w:rsid w:val="37DF15AE"/>
    <w:rsid w:val="422C23AA"/>
    <w:rsid w:val="42A46CCF"/>
    <w:rsid w:val="49222AE3"/>
    <w:rsid w:val="52BC45CC"/>
    <w:rsid w:val="57007520"/>
    <w:rsid w:val="5D3566E7"/>
    <w:rsid w:val="5E767C41"/>
    <w:rsid w:val="615703AF"/>
    <w:rsid w:val="623053EA"/>
    <w:rsid w:val="63712CE1"/>
    <w:rsid w:val="672713DC"/>
    <w:rsid w:val="68B6496C"/>
    <w:rsid w:val="717A2CAA"/>
    <w:rsid w:val="71F62CCF"/>
    <w:rsid w:val="74D06BD2"/>
    <w:rsid w:val="76346D19"/>
    <w:rsid w:val="78637CB2"/>
    <w:rsid w:val="79F266B5"/>
    <w:rsid w:val="7A124C2E"/>
    <w:rsid w:val="7AC8376F"/>
    <w:rsid w:val="7D227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qFormat/>
    <w:uiPriority w:val="9"/>
    <w:pPr>
      <w:keepNext/>
      <w:keepLines/>
      <w:spacing w:line="560" w:lineRule="exact"/>
      <w:ind w:firstLine="200" w:firstLineChars="200"/>
      <w:outlineLvl w:val="0"/>
    </w:pPr>
    <w:rPr>
      <w:rFonts w:ascii="黑体" w:hAnsi="黑体" w:eastAsia="黑体" w:cs="华文中宋"/>
      <w:bCs/>
      <w:kern w:val="44"/>
      <w:sz w:val="32"/>
      <w:szCs w:val="44"/>
    </w:rPr>
  </w:style>
  <w:style w:type="paragraph" w:styleId="3">
    <w:name w:val="heading 2"/>
    <w:basedOn w:val="1"/>
    <w:next w:val="1"/>
    <w:qFormat/>
    <w:uiPriority w:val="9"/>
    <w:pPr>
      <w:keepNext/>
      <w:keepLines/>
      <w:spacing w:line="560" w:lineRule="exact"/>
      <w:ind w:firstLine="200" w:firstLineChars="200"/>
      <w:outlineLvl w:val="1"/>
    </w:pPr>
    <w:rPr>
      <w:rFonts w:ascii="楷体" w:hAnsi="楷体" w:eastAsia="楷体"/>
      <w:b/>
      <w:bCs/>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Body Text Indent"/>
    <w:basedOn w:val="1"/>
    <w:qFormat/>
    <w:uiPriority w:val="0"/>
    <w:pPr>
      <w:spacing w:after="120"/>
      <w:ind w:left="420" w:leftChars="2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Subtitle"/>
    <w:basedOn w:val="1"/>
    <w:next w:val="1"/>
    <w:qFormat/>
    <w:uiPriority w:val="11"/>
    <w:pPr>
      <w:spacing w:before="60" w:after="60" w:line="312" w:lineRule="auto"/>
      <w:ind w:firstLine="200" w:firstLineChars="200"/>
      <w:jc w:val="left"/>
      <w:outlineLvl w:val="1"/>
    </w:pPr>
    <w:rPr>
      <w:rFonts w:ascii="楷体" w:hAnsi="楷体" w:eastAsia="楷体" w:cs="Times New Roman"/>
      <w:bCs/>
      <w:kern w:val="28"/>
      <w:sz w:val="28"/>
      <w:szCs w:val="32"/>
    </w:rPr>
  </w:style>
  <w:style w:type="paragraph" w:styleId="9">
    <w:name w:val="toc 2"/>
    <w:basedOn w:val="1"/>
    <w:next w:val="1"/>
    <w:qFormat/>
    <w:uiPriority w:val="0"/>
    <w:pPr>
      <w:ind w:left="420" w:leftChars="200"/>
    </w:p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1">
    <w:name w:val="Title"/>
    <w:basedOn w:val="1"/>
    <w:next w:val="1"/>
    <w:qFormat/>
    <w:uiPriority w:val="10"/>
    <w:pPr>
      <w:spacing w:before="120" w:after="60"/>
      <w:ind w:firstLine="200" w:firstLineChars="200"/>
      <w:jc w:val="left"/>
      <w:outlineLvl w:val="0"/>
    </w:pPr>
    <w:rPr>
      <w:rFonts w:ascii="黑体" w:hAnsi="黑体" w:eastAsia="黑体" w:cs="Times New Roman"/>
      <w:bCs/>
      <w:sz w:val="28"/>
      <w:szCs w:val="32"/>
    </w:rPr>
  </w:style>
  <w:style w:type="paragraph" w:styleId="12">
    <w:name w:val="Body Text First Indent 2"/>
    <w:basedOn w:val="4"/>
    <w:unhideWhenUsed/>
    <w:qFormat/>
    <w:uiPriority w:val="0"/>
    <w:pPr>
      <w:ind w:firstLine="420" w:firstLineChars="200"/>
    </w:pPr>
    <w:rPr>
      <w:rFonts w:ascii="仿宋_GB2312" w:hAnsi="微软雅黑" w:eastAsia="仿宋_GB2312" w:cs="华文中宋"/>
      <w:szCs w:val="20"/>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uiPriority w:val="0"/>
    <w:rPr>
      <w:color w:val="0000FF"/>
      <w:u w:val="singl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tif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2957</Words>
  <Characters>3143</Characters>
  <Lines>0</Lines>
  <Paragraphs>0</Paragraphs>
  <TotalTime>4</TotalTime>
  <ScaleCrop>false</ScaleCrop>
  <LinksUpToDate>false</LinksUpToDate>
  <CharactersWithSpaces>3281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2024-08-26T01:33:00Z</dcterms:created>
  <dc:creator>天娜</dc:creator>
  <cp:lastModifiedBy>王君汇</cp:lastModifiedBy>
  <dcterms:modified xsi:type="dcterms:W3CDTF">2025-12-26T01:47:18Z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60677027BB6447D6916C06DB75F6626B_13</vt:lpwstr>
  </property>
  <property fmtid="{D5CDD505-2E9C-101B-9397-08002B2CF9AE}" pid="4" name="KSOTemplateDocerSaveRecord">
    <vt:lpwstr>eyJoZGlkIjoiZTJjZTIxZjdjNDQ1YWVlOTExYTRkOTA3ZDMxNWZkN2IiLCJ1c2VySWQiOiI2ODk5MzMzNjgifQ==</vt:lpwstr>
  </property>
</Properties>
</file>