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4018">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val="en-US" w:eastAsia="zh-CN"/>
        </w:rPr>
        <w:t>烈山区杨庄街道办事处</w:t>
      </w:r>
      <w:r>
        <w:rPr>
          <w:rFonts w:hint="eastAsia" w:ascii="TimesNewRoman" w:hAnsi="TimesNewRoman" w:eastAsia="华文中宋" w:cs="TimesNewRoman"/>
          <w:b/>
          <w:sz w:val="44"/>
          <w:szCs w:val="44"/>
          <w:lang w:eastAsia="zh-CN"/>
        </w:rPr>
        <w:t>2025</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部门（单位）预算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2025</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1</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2025</w:t>
      </w:r>
      <w:r>
        <w:rPr>
          <w:rFonts w:hint="eastAsia" w:ascii="TimesNewRoman" w:hAnsi="TimesNewRoman" w:eastAsia="仿宋_GB2312" w:cs="TimesNewRoman"/>
          <w:b/>
          <w:sz w:val="32"/>
          <w:szCs w:val="32"/>
        </w:rPr>
        <w:t>年部门（单位）预算表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12、淮北市烈山区杨庄街道办事处</w:t>
      </w:r>
      <w:r>
        <w:rPr>
          <w:rFonts w:hint="eastAsia" w:ascii="TimesNewRoman" w:hAnsi="TimesNewRoman" w:eastAsia="仿宋_GB2312" w:cs="TimesNewRoman"/>
          <w:bCs/>
          <w:sz w:val="32"/>
          <w:szCs w:val="32"/>
          <w:lang w:eastAsia="zh-CN"/>
        </w:rPr>
        <w:t>2025</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2025</w:t>
      </w:r>
      <w:r>
        <w:rPr>
          <w:rFonts w:hint="eastAsia" w:ascii="TimesNewRoman" w:hAnsi="TimesNewRoman" w:eastAsia="仿宋_GB2312" w:cs="TimesNewRoman"/>
          <w:b/>
          <w:sz w:val="32"/>
          <w:szCs w:val="32"/>
        </w:rPr>
        <w:t>年部门（单位）预算情况说明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年政府购买服务支出表的说明</w:t>
      </w:r>
    </w:p>
    <w:p w14:paraId="62E3CE5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2、淮北市烈山区杨庄街道办事处</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年部门预算专项资金管理清单（专栏公开）</w:t>
      </w:r>
    </w:p>
    <w:p w14:paraId="7E456C19">
      <w:pPr>
        <w:pStyle w:val="4"/>
        <w:adjustRightInd w:val="0"/>
        <w:snapToGrid w:val="0"/>
        <w:spacing w:line="400" w:lineRule="exact"/>
        <w:ind w:firstLine="800" w:firstLineChars="250"/>
        <w:rPr>
          <w:rFonts w:ascii="TimesNewRoman" w:hAnsi="TimesNewRoman" w:eastAsia="仿宋_GB2312" w:cs="TimesNewRoman"/>
          <w:bCs/>
          <w:sz w:val="32"/>
          <w:szCs w:val="32"/>
        </w:rPr>
      </w:pP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14:paraId="5D26A40D"/>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6E8D2C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80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color="auto" w:fill="FFFFFF"/>
          <w:lang w:eastAsia="zh-CN"/>
        </w:rPr>
        <w:t>淮北市烈山区杨庄街道办事处是区人民政府的派出机关，受区政府的领导</w:t>
      </w:r>
      <w:r>
        <w:rPr>
          <w:rFonts w:ascii="仿宋" w:hAnsi="仿宋" w:eastAsia="仿宋" w:cs="仿宋"/>
          <w:i w:val="0"/>
          <w:caps w:val="0"/>
          <w:color w:val="333333"/>
          <w:spacing w:val="0"/>
          <w:sz w:val="32"/>
          <w:szCs w:val="32"/>
          <w:shd w:val="clear" w:color="auto" w:fill="FFFFFF"/>
        </w:rPr>
        <w:t>，</w:t>
      </w:r>
      <w:r>
        <w:rPr>
          <w:rFonts w:hint="eastAsia" w:ascii="仿宋" w:hAnsi="仿宋" w:eastAsia="仿宋" w:cs="仿宋"/>
          <w:i w:val="0"/>
          <w:caps w:val="0"/>
          <w:color w:val="333333"/>
          <w:spacing w:val="0"/>
          <w:sz w:val="32"/>
          <w:szCs w:val="32"/>
          <w:shd w:val="clear" w:color="auto" w:fill="FFFFFF"/>
          <w:lang w:eastAsia="zh-CN"/>
        </w:rPr>
        <w:t>依据法律、法规规定，在本辖区内行驶相应的行政管理职能。</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473E27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both"/>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从预算单位构成看，烈山区</w:t>
      </w:r>
      <w:r>
        <w:rPr>
          <w:rFonts w:hint="eastAsia" w:ascii="仿宋" w:hAnsi="仿宋" w:eastAsia="仿宋" w:cs="仿宋"/>
          <w:i w:val="0"/>
          <w:caps w:val="0"/>
          <w:color w:val="333333"/>
          <w:spacing w:val="0"/>
          <w:sz w:val="32"/>
          <w:szCs w:val="32"/>
          <w:shd w:val="clear" w:color="auto" w:fill="FFFFFF"/>
          <w:lang w:eastAsia="zh-CN"/>
        </w:rPr>
        <w:t>杨庄街道办事处202</w:t>
      </w:r>
      <w:r>
        <w:rPr>
          <w:rFonts w:hint="eastAsia" w:ascii="仿宋" w:hAnsi="仿宋" w:eastAsia="仿宋" w:cs="仿宋"/>
          <w:i w:val="0"/>
          <w:caps w:val="0"/>
          <w:color w:val="333333"/>
          <w:spacing w:val="0"/>
          <w:sz w:val="32"/>
          <w:szCs w:val="32"/>
          <w:shd w:val="clear" w:color="auto" w:fill="FFFFFF"/>
          <w:lang w:val="en-US" w:eastAsia="zh-CN"/>
        </w:rPr>
        <w:t>5</w:t>
      </w:r>
      <w:r>
        <w:rPr>
          <w:rFonts w:hint="default" w:ascii="仿宋_GB2312" w:hAnsi="仿宋" w:eastAsia="仿宋_GB2312" w:cs="仿宋_GB2312"/>
          <w:i w:val="0"/>
          <w:caps w:val="0"/>
          <w:color w:val="333333"/>
          <w:spacing w:val="0"/>
          <w:sz w:val="32"/>
          <w:szCs w:val="32"/>
          <w:shd w:val="clear" w:color="auto" w:fill="FFFFFF"/>
        </w:rPr>
        <w:t>年度部门预算包括</w:t>
      </w:r>
      <w:r>
        <w:rPr>
          <w:rFonts w:hint="eastAsia" w:ascii="仿宋_GB2312" w:hAnsi="仿宋" w:eastAsia="仿宋_GB2312" w:cs="仿宋_GB2312"/>
          <w:i w:val="0"/>
          <w:caps w:val="0"/>
          <w:color w:val="333333"/>
          <w:spacing w:val="0"/>
          <w:sz w:val="32"/>
          <w:szCs w:val="32"/>
          <w:shd w:val="clear" w:color="auto" w:fill="FFFFFF"/>
          <w:lang w:eastAsia="zh-CN"/>
        </w:rPr>
        <w:t>杨庄办</w:t>
      </w:r>
      <w:r>
        <w:rPr>
          <w:rFonts w:hint="default" w:ascii="仿宋_GB2312" w:hAnsi="仿宋" w:eastAsia="仿宋_GB2312" w:cs="仿宋_GB2312"/>
          <w:i w:val="0"/>
          <w:caps w:val="0"/>
          <w:color w:val="333333"/>
          <w:spacing w:val="0"/>
          <w:sz w:val="32"/>
          <w:szCs w:val="32"/>
          <w:shd w:val="clear" w:color="auto" w:fill="FFFFFF"/>
        </w:rPr>
        <w:t>本级预算，纳入部门预算编制范围的单位共</w:t>
      </w:r>
      <w:r>
        <w:rPr>
          <w:rFonts w:hint="default" w:ascii="仿宋" w:hAnsi="仿宋" w:eastAsia="仿宋" w:cs="仿宋"/>
          <w:i w:val="0"/>
          <w:caps w:val="0"/>
          <w:color w:val="333333"/>
          <w:spacing w:val="0"/>
          <w:sz w:val="32"/>
          <w:szCs w:val="32"/>
          <w:shd w:val="clear" w:color="auto" w:fill="FFFFFF"/>
        </w:rPr>
        <w:t>1个，具体情况见下表。</w:t>
      </w:r>
    </w:p>
    <w:tbl>
      <w:tblPr>
        <w:tblStyle w:val="5"/>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00"/>
        <w:gridCol w:w="3600"/>
        <w:gridCol w:w="4500"/>
      </w:tblGrid>
      <w:tr w14:paraId="0DB6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F8F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序号</w:t>
            </w:r>
          </w:p>
        </w:tc>
        <w:tc>
          <w:tcPr>
            <w:tcW w:w="36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8E5B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单位名称</w:t>
            </w:r>
          </w:p>
        </w:tc>
        <w:tc>
          <w:tcPr>
            <w:tcW w:w="450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14:paraId="75C4D0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单位性质</w:t>
            </w:r>
          </w:p>
        </w:tc>
      </w:tr>
      <w:tr w14:paraId="6C6B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FA4E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 w:hAnsi="仿宋" w:eastAsia="仿宋" w:cs="仿宋"/>
                <w:i w:val="0"/>
                <w:caps w:val="0"/>
                <w:color w:val="333333"/>
                <w:spacing w:val="0"/>
                <w:sz w:val="24"/>
                <w:szCs w:val="24"/>
              </w:rPr>
              <w:t>1</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4A51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烈山区</w:t>
            </w:r>
            <w:r>
              <w:rPr>
                <w:rFonts w:hint="eastAsia" w:ascii="仿宋_GB2312" w:hAnsi="仿宋" w:eastAsia="仿宋_GB2312" w:cs="仿宋_GB2312"/>
                <w:i w:val="0"/>
                <w:caps w:val="0"/>
                <w:color w:val="333333"/>
                <w:spacing w:val="0"/>
                <w:sz w:val="24"/>
                <w:szCs w:val="24"/>
                <w:lang w:eastAsia="zh-CN"/>
              </w:rPr>
              <w:t>杨庄办</w:t>
            </w:r>
            <w:r>
              <w:rPr>
                <w:rFonts w:hint="default" w:ascii="仿宋_GB2312" w:hAnsi="仿宋" w:eastAsia="仿宋_GB2312" w:cs="仿宋_GB2312"/>
                <w:i w:val="0"/>
                <w:caps w:val="0"/>
                <w:color w:val="333333"/>
                <w:spacing w:val="0"/>
                <w:sz w:val="24"/>
                <w:szCs w:val="24"/>
              </w:rPr>
              <w:t>本级</w:t>
            </w:r>
          </w:p>
        </w:tc>
        <w:tc>
          <w:tcPr>
            <w:tcW w:w="450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14:paraId="5D9D76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行政单位</w:t>
            </w:r>
          </w:p>
        </w:tc>
      </w:tr>
    </w:tbl>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年度主要工作任务</w:t>
      </w:r>
    </w:p>
    <w:p w14:paraId="6A4BF4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96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5</w:t>
      </w:r>
      <w:r>
        <w:rPr>
          <w:rFonts w:hint="default" w:ascii="仿宋" w:hAnsi="仿宋" w:eastAsia="仿宋" w:cs="仿宋"/>
          <w:i w:val="0"/>
          <w:caps w:val="0"/>
          <w:color w:val="333333"/>
          <w:spacing w:val="0"/>
          <w:sz w:val="32"/>
          <w:szCs w:val="32"/>
          <w:shd w:val="clear" w:color="auto" w:fill="FFFFFF"/>
        </w:rPr>
        <w:t>年，我</w:t>
      </w:r>
      <w:r>
        <w:rPr>
          <w:rFonts w:hint="eastAsia" w:ascii="仿宋" w:hAnsi="仿宋" w:eastAsia="仿宋" w:cs="仿宋"/>
          <w:i w:val="0"/>
          <w:caps w:val="0"/>
          <w:color w:val="333333"/>
          <w:spacing w:val="0"/>
          <w:sz w:val="32"/>
          <w:szCs w:val="32"/>
          <w:shd w:val="clear" w:color="auto" w:fill="FFFFFF"/>
          <w:lang w:eastAsia="zh-CN"/>
        </w:rPr>
        <w:t>办</w:t>
      </w:r>
      <w:r>
        <w:rPr>
          <w:rFonts w:hint="default" w:ascii="仿宋" w:hAnsi="仿宋" w:eastAsia="仿宋" w:cs="仿宋"/>
          <w:i w:val="0"/>
          <w:caps w:val="0"/>
          <w:color w:val="333333"/>
          <w:spacing w:val="0"/>
          <w:sz w:val="32"/>
          <w:szCs w:val="32"/>
          <w:shd w:val="clear" w:color="auto" w:fill="FFFFFF"/>
        </w:rPr>
        <w:t>继续认真落实市、区建设“</w:t>
      </w:r>
      <w:r>
        <w:rPr>
          <w:rFonts w:hint="eastAsia" w:ascii="仿宋" w:hAnsi="仿宋" w:eastAsia="仿宋" w:cs="仿宋"/>
          <w:i w:val="0"/>
          <w:caps w:val="0"/>
          <w:color w:val="333333"/>
          <w:spacing w:val="0"/>
          <w:sz w:val="32"/>
          <w:szCs w:val="32"/>
          <w:shd w:val="clear" w:color="auto" w:fill="FFFFFF"/>
          <w:lang w:eastAsia="zh-CN"/>
        </w:rPr>
        <w:t>一地两区一城</w:t>
      </w:r>
      <w:r>
        <w:rPr>
          <w:rFonts w:hint="default" w:ascii="仿宋" w:hAnsi="仿宋" w:eastAsia="仿宋" w:cs="仿宋"/>
          <w:i w:val="0"/>
          <w:caps w:val="0"/>
          <w:color w:val="333333"/>
          <w:spacing w:val="0"/>
          <w:sz w:val="32"/>
          <w:szCs w:val="32"/>
          <w:shd w:val="clear" w:color="auto" w:fill="FFFFFF"/>
        </w:rPr>
        <w:t>”的工作部署，贯彻区委、区政府的决策部署，坚持稳中求进的总基调，积极进取，主动作为，以项目建设为基础，以安全稳定为保障，以农民增收为目标，促进全</w:t>
      </w:r>
      <w:r>
        <w:rPr>
          <w:rFonts w:hint="eastAsia" w:ascii="仿宋" w:hAnsi="仿宋" w:eastAsia="仿宋" w:cs="仿宋"/>
          <w:i w:val="0"/>
          <w:caps w:val="0"/>
          <w:color w:val="333333"/>
          <w:spacing w:val="0"/>
          <w:sz w:val="32"/>
          <w:szCs w:val="32"/>
          <w:shd w:val="clear" w:color="auto" w:fill="FFFFFF"/>
          <w:lang w:eastAsia="zh-CN"/>
        </w:rPr>
        <w:t>办</w:t>
      </w:r>
      <w:r>
        <w:rPr>
          <w:rFonts w:hint="default" w:ascii="仿宋" w:hAnsi="仿宋" w:eastAsia="仿宋" w:cs="仿宋"/>
          <w:i w:val="0"/>
          <w:caps w:val="0"/>
          <w:color w:val="333333"/>
          <w:spacing w:val="0"/>
          <w:sz w:val="32"/>
          <w:szCs w:val="32"/>
          <w:shd w:val="clear" w:color="auto" w:fill="FFFFFF"/>
        </w:rPr>
        <w:t>各项事业平稳健康发展。</w:t>
      </w:r>
    </w:p>
    <w:p w14:paraId="0DB6AD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（1）坚持稳中求进，促进产业发展，实现招商引资突破，强化重点项目建设。</w:t>
      </w:r>
    </w:p>
    <w:p w14:paraId="067009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（2）坚持统筹发展，推进城乡一体化建设，加大基础设施建设，加大城乡环境整治，强化“高效征收”机制。</w:t>
      </w:r>
    </w:p>
    <w:p w14:paraId="402BF8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（3）坚持服务民生，推进社会事业全面发展</w:t>
      </w:r>
    </w:p>
    <w:p w14:paraId="51234C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严格按照政策做好</w:t>
      </w:r>
      <w:r>
        <w:rPr>
          <w:rFonts w:hint="eastAsia" w:ascii="仿宋" w:hAnsi="仿宋" w:eastAsia="仿宋" w:cs="仿宋"/>
          <w:i w:val="0"/>
          <w:caps w:val="0"/>
          <w:color w:val="333333"/>
          <w:spacing w:val="0"/>
          <w:sz w:val="32"/>
          <w:szCs w:val="32"/>
          <w:shd w:val="clear" w:color="auto" w:fill="FFFFFF"/>
          <w:lang w:eastAsia="zh-CN"/>
        </w:rPr>
        <w:t>公租房</w:t>
      </w:r>
      <w:r>
        <w:rPr>
          <w:rFonts w:hint="default" w:ascii="仿宋" w:hAnsi="仿宋" w:eastAsia="仿宋" w:cs="仿宋"/>
          <w:i w:val="0"/>
          <w:caps w:val="0"/>
          <w:color w:val="333333"/>
          <w:spacing w:val="0"/>
          <w:sz w:val="32"/>
          <w:szCs w:val="32"/>
          <w:shd w:val="clear" w:color="auto" w:fill="FFFFFF"/>
        </w:rPr>
        <w:t>申请受理工作。严格按程序审批</w:t>
      </w:r>
      <w:r>
        <w:rPr>
          <w:rFonts w:hint="eastAsia" w:ascii="仿宋" w:hAnsi="仿宋" w:eastAsia="仿宋" w:cs="仿宋"/>
          <w:i w:val="0"/>
          <w:caps w:val="0"/>
          <w:color w:val="333333"/>
          <w:spacing w:val="0"/>
          <w:sz w:val="32"/>
          <w:szCs w:val="32"/>
          <w:shd w:val="clear" w:color="auto" w:fill="FFFFFF"/>
          <w:lang w:eastAsia="zh-CN"/>
        </w:rPr>
        <w:t>符合条件申请户</w:t>
      </w:r>
      <w:r>
        <w:rPr>
          <w:rFonts w:hint="default" w:ascii="仿宋" w:hAnsi="仿宋" w:eastAsia="仿宋" w:cs="仿宋"/>
          <w:i w:val="0"/>
          <w:caps w:val="0"/>
          <w:color w:val="333333"/>
          <w:spacing w:val="0"/>
          <w:sz w:val="32"/>
          <w:szCs w:val="32"/>
          <w:shd w:val="clear" w:color="auto" w:fill="FFFFFF"/>
        </w:rPr>
        <w:t>初审工作。大力发展养老服务业，不断提高</w:t>
      </w:r>
      <w:r>
        <w:rPr>
          <w:rFonts w:hint="eastAsia" w:ascii="仿宋" w:hAnsi="仿宋" w:eastAsia="仿宋" w:cs="仿宋"/>
          <w:i w:val="0"/>
          <w:caps w:val="0"/>
          <w:color w:val="333333"/>
          <w:spacing w:val="0"/>
          <w:sz w:val="32"/>
          <w:szCs w:val="32"/>
          <w:shd w:val="clear" w:color="auto" w:fill="FFFFFF"/>
          <w:lang w:eastAsia="zh-CN"/>
        </w:rPr>
        <w:t>社区</w:t>
      </w:r>
      <w:r>
        <w:rPr>
          <w:rFonts w:hint="default" w:ascii="仿宋" w:hAnsi="仿宋" w:eastAsia="仿宋" w:cs="仿宋"/>
          <w:i w:val="0"/>
          <w:caps w:val="0"/>
          <w:color w:val="333333"/>
          <w:spacing w:val="0"/>
          <w:sz w:val="32"/>
          <w:szCs w:val="32"/>
          <w:shd w:val="clear" w:color="auto" w:fill="FFFFFF"/>
        </w:rPr>
        <w:t>养老保障水平。不断完善社会救助体系。做好计划生育服务工作。</w:t>
      </w:r>
    </w:p>
    <w:p w14:paraId="498437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(4)坚持精细管理，着力维护社会和谐稳定，深入推进平安建设，持续抓好文明创建工作。</w:t>
      </w:r>
    </w:p>
    <w:p w14:paraId="2555AE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仿宋" w:cs="宋体"/>
          <w:i w:val="0"/>
          <w:caps w:val="0"/>
          <w:color w:val="333333"/>
          <w:spacing w:val="0"/>
          <w:sz w:val="24"/>
          <w:szCs w:val="24"/>
          <w:lang w:val="en-US" w:eastAsia="zh-CN"/>
        </w:rPr>
      </w:pPr>
      <w:r>
        <w:rPr>
          <w:rFonts w:hint="default" w:ascii="仿宋" w:hAnsi="仿宋" w:eastAsia="仿宋" w:cs="仿宋"/>
          <w:i w:val="0"/>
          <w:caps w:val="0"/>
          <w:color w:val="333333"/>
          <w:spacing w:val="0"/>
          <w:sz w:val="32"/>
          <w:szCs w:val="32"/>
          <w:shd w:val="clear" w:color="auto" w:fill="FFFFFF"/>
        </w:rPr>
        <w:t>(5)坚持党建保障，不断加强自身建设</w:t>
      </w:r>
      <w:r>
        <w:rPr>
          <w:rFonts w:hint="eastAsia" w:ascii="仿宋" w:hAnsi="仿宋" w:eastAsia="仿宋" w:cs="仿宋"/>
          <w:i w:val="0"/>
          <w:caps w:val="0"/>
          <w:color w:val="333333"/>
          <w:spacing w:val="0"/>
          <w:sz w:val="32"/>
          <w:szCs w:val="32"/>
          <w:shd w:val="clear" w:color="auto" w:fill="FFFFFF"/>
          <w:lang w:eastAsia="zh-CN"/>
        </w:rPr>
        <w:t>。</w:t>
      </w:r>
    </w:p>
    <w:p w14:paraId="2A57A7FC"/>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2025</w:t>
      </w:r>
      <w:r>
        <w:rPr>
          <w:rFonts w:hint="eastAsia" w:ascii="TimesNewRoman" w:hAnsi="TimesNewRoman" w:eastAsia="黑体" w:cs="TimesNewRoman"/>
          <w:bCs/>
          <w:sz w:val="36"/>
          <w:szCs w:val="36"/>
        </w:rPr>
        <w:t>年部门（单位）预算表</w:t>
      </w:r>
    </w:p>
    <w:p w14:paraId="4A22B434">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2025</w:t>
      </w:r>
      <w:r>
        <w:rPr>
          <w:rFonts w:hint="eastAsia" w:ascii="TimesNewRoman" w:hAnsi="TimesNewRoman" w:eastAsia="黑体" w:cs="TimesNewRoman"/>
          <w:bCs/>
          <w:sz w:val="36"/>
          <w:szCs w:val="36"/>
        </w:rPr>
        <w:t>年部门（单位）预算情况说明</w:t>
      </w:r>
    </w:p>
    <w:p w14:paraId="387E301D"/>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年收支总表的说明</w:t>
      </w:r>
    </w:p>
    <w:p w14:paraId="57E72913">
      <w:pPr>
        <w:pStyle w:val="4"/>
        <w:adjustRightInd w:val="0"/>
        <w:snapToGrid w:val="0"/>
        <w:spacing w:line="560" w:lineRule="exact"/>
        <w:ind w:firstLine="627" w:firstLineChars="196"/>
        <w:rPr>
          <w:rFonts w:hint="eastAsia" w:ascii="仿宋_GB2312" w:hAnsi="仿宋"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 w:eastAsia="仿宋_GB2312" w:cs="仿宋_GB2312"/>
          <w:i w:val="0"/>
          <w:caps w:val="0"/>
          <w:color w:val="333333"/>
          <w:spacing w:val="0"/>
          <w:kern w:val="2"/>
          <w:sz w:val="32"/>
          <w:szCs w:val="32"/>
          <w:shd w:val="clear" w:color="auto" w:fill="FFFFFF"/>
          <w:lang w:val="en-US" w:eastAsia="zh-CN" w:bidi="ar-SA"/>
        </w:rPr>
        <w:t>按照综合预算的原则，淮北市</w:t>
      </w:r>
      <w:r>
        <w:rPr>
          <w:rFonts w:hint="default" w:ascii="仿宋_GB2312" w:hAnsi="仿宋" w:eastAsia="仿宋_GB2312" w:cs="仿宋_GB2312"/>
          <w:i w:val="0"/>
          <w:caps w:val="0"/>
          <w:color w:val="333333"/>
          <w:spacing w:val="0"/>
          <w:kern w:val="2"/>
          <w:sz w:val="32"/>
          <w:szCs w:val="32"/>
          <w:shd w:val="clear" w:color="auto" w:fill="FFFFFF"/>
          <w:lang w:val="en-US" w:eastAsia="zh-CN" w:bidi="ar-SA"/>
        </w:rPr>
        <w:t>烈山区</w:t>
      </w:r>
      <w:r>
        <w:rPr>
          <w:rFonts w:hint="eastAsia" w:ascii="仿宋_GB2312" w:hAnsi="仿宋" w:eastAsia="仿宋_GB2312" w:cs="仿宋_GB2312"/>
          <w:i w:val="0"/>
          <w:caps w:val="0"/>
          <w:color w:val="333333"/>
          <w:spacing w:val="0"/>
          <w:kern w:val="2"/>
          <w:sz w:val="32"/>
          <w:szCs w:val="32"/>
          <w:shd w:val="clear" w:color="auto" w:fill="FFFFFF"/>
          <w:lang w:val="en-US" w:eastAsia="zh-CN" w:bidi="ar-SA"/>
        </w:rPr>
        <w:t>杨庄街道办事处所有收入和支出均纳入部门（单位）预算管理。淮北市</w:t>
      </w:r>
      <w:r>
        <w:rPr>
          <w:rFonts w:hint="default" w:ascii="仿宋_GB2312" w:hAnsi="仿宋" w:eastAsia="仿宋_GB2312" w:cs="仿宋_GB2312"/>
          <w:i w:val="0"/>
          <w:caps w:val="0"/>
          <w:color w:val="333333"/>
          <w:spacing w:val="0"/>
          <w:kern w:val="2"/>
          <w:sz w:val="32"/>
          <w:szCs w:val="32"/>
          <w:shd w:val="clear" w:color="auto" w:fill="FFFFFF"/>
          <w:lang w:val="en-US" w:eastAsia="zh-CN" w:bidi="ar-SA"/>
        </w:rPr>
        <w:t>烈山区</w:t>
      </w:r>
      <w:r>
        <w:rPr>
          <w:rFonts w:hint="eastAsia" w:ascii="仿宋_GB2312" w:hAnsi="仿宋" w:eastAsia="仿宋_GB2312" w:cs="仿宋_GB2312"/>
          <w:i w:val="0"/>
          <w:caps w:val="0"/>
          <w:color w:val="333333"/>
          <w:spacing w:val="0"/>
          <w:kern w:val="2"/>
          <w:sz w:val="32"/>
          <w:szCs w:val="32"/>
          <w:shd w:val="clear" w:color="auto" w:fill="FFFFFF"/>
          <w:lang w:val="en-US" w:eastAsia="zh-CN" w:bidi="ar-SA"/>
        </w:rPr>
        <w:t>杨庄街道办事处2025年收支总预算2519.16万元，收入均为一般公共预算拨款收入，支出包括：一般公共服务支出、社会保障和就业支出、卫生健康支出、住房保障支出等。支出按功能分类分为：一般公共服务支出2144.26万元，占85.12%；社会保障和就业支出45.61万元，占1.8%；卫生健康支出71.29万元，占2.8%；住房保障支出68万元，占2.7%；城乡社区支出190万元，占7.5%；其他支出预备费25万元，占1%。其中基本支出790.38万元，项目支出1728.78万元。</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年收入总表的说明</w:t>
      </w:r>
    </w:p>
    <w:p w14:paraId="37EFE49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仿宋" w:eastAsia="仿宋_GB2312" w:cs="仿宋_GB2312"/>
          <w:i w:val="0"/>
          <w:caps w:val="0"/>
          <w:color w:val="333333"/>
          <w:spacing w:val="0"/>
          <w:sz w:val="32"/>
          <w:szCs w:val="32"/>
          <w:shd w:val="clear" w:color="auto" w:fill="FFFFFF"/>
        </w:rPr>
        <w:t>烈山区</w:t>
      </w:r>
      <w:r>
        <w:rPr>
          <w:rFonts w:hint="eastAsia" w:ascii="仿宋_GB2312" w:hAnsi="仿宋" w:eastAsia="仿宋_GB2312" w:cs="仿宋_GB2312"/>
          <w:i w:val="0"/>
          <w:caps w:val="0"/>
          <w:color w:val="333333"/>
          <w:spacing w:val="0"/>
          <w:sz w:val="32"/>
          <w:szCs w:val="32"/>
          <w:shd w:val="clear" w:color="auto" w:fill="FFFFFF"/>
          <w:lang w:val="en-US" w:eastAsia="zh-CN"/>
        </w:rPr>
        <w:t>杨庄街道办事</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处2025年收入预算2519.16万元，主要包括：一般公共预算拨款收</w:t>
      </w:r>
      <w:r>
        <w:rPr>
          <w:rFonts w:hint="eastAsia" w:ascii="TimesNewRoman" w:hAnsi="TimesNewRoman" w:eastAsia="仿宋_GB2312" w:cs="TimesNewRoman"/>
          <w:kern w:val="0"/>
          <w:sz w:val="32"/>
          <w:szCs w:val="32"/>
        </w:rPr>
        <w:t>入</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2519</w:t>
      </w:r>
      <w:r>
        <w:rPr>
          <w:rFonts w:hint="eastAsia" w:ascii="仿宋_GB2312" w:hAnsi="仿宋" w:eastAsia="仿宋_GB2312" w:cs="仿宋_GB2312"/>
          <w:i w:val="0"/>
          <w:caps w:val="0"/>
          <w:color w:val="333333"/>
          <w:spacing w:val="0"/>
          <w:sz w:val="32"/>
          <w:szCs w:val="32"/>
          <w:shd w:val="clear" w:color="auto" w:fill="FFFFFF"/>
          <w:lang w:val="en-US" w:eastAsia="zh-CN"/>
        </w:rPr>
        <w:t>.16</w:t>
      </w:r>
      <w:r>
        <w:rPr>
          <w:rFonts w:hint="default" w:ascii="仿宋_GB2312" w:hAnsi="仿宋" w:eastAsia="仿宋_GB2312" w:cs="仿宋_GB2312"/>
          <w:i w:val="0"/>
          <w:caps w:val="0"/>
          <w:color w:val="333333"/>
          <w:spacing w:val="0"/>
          <w:sz w:val="32"/>
          <w:szCs w:val="32"/>
          <w:shd w:val="clear" w:color="auto" w:fill="FFFFFF"/>
          <w:lang w:val="en-US" w:eastAsia="zh-CN"/>
        </w:rPr>
        <w:t>万元，</w:t>
      </w:r>
      <w:r>
        <w:rPr>
          <w:rFonts w:hint="eastAsia" w:ascii="仿宋_GB2312" w:hAnsi="仿宋" w:eastAsia="仿宋_GB2312" w:cs="仿宋_GB2312"/>
          <w:i w:val="0"/>
          <w:caps w:val="0"/>
          <w:color w:val="333333"/>
          <w:spacing w:val="0"/>
          <w:sz w:val="32"/>
          <w:szCs w:val="32"/>
          <w:shd w:val="clear" w:color="auto" w:fill="FFFFFF"/>
          <w:lang w:val="en-US" w:eastAsia="zh-CN"/>
        </w:rPr>
        <w:t>比2024年预算减少50.79万元，基本与上年持平。</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杨庄街道办事处2025年支出预算2519.16</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，比2024年预算减少50.79万元，基本与上年持平。其中，基本支出790.38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，占31.4%，主要用于保障机构日常运转、完成日常工作任务；项目支出1728.78万元，占68.6%，</w:t>
      </w:r>
      <w:r>
        <w:rPr>
          <w:rFonts w:hint="eastAsia" w:ascii="TimesNewRoman" w:hAnsi="TimesNewRoman" w:eastAsia="仿宋_GB2312" w:cs="TimesNewRoman"/>
          <w:kern w:val="0"/>
          <w:sz w:val="32"/>
          <w:szCs w:val="32"/>
        </w:rPr>
        <w:t>主要用于基础设施建设、教育、医疗、社会保障、农业</w:t>
      </w:r>
      <w:r>
        <w:rPr>
          <w:rFonts w:hint="eastAsia" w:ascii="TimesNewRoman" w:hAnsi="TimesNewRoman" w:eastAsia="仿宋_GB2312" w:cs="TimesNewRoman"/>
          <w:kern w:val="0"/>
          <w:sz w:val="32"/>
          <w:szCs w:val="32"/>
          <w:lang w:val="en-US" w:eastAsia="zh-CN"/>
        </w:rPr>
        <w:t>项目</w:t>
      </w:r>
      <w:r>
        <w:rPr>
          <w:rFonts w:hint="eastAsia" w:ascii="TimesNewRoman" w:hAnsi="TimesNewRoman" w:eastAsia="仿宋_GB2312" w:cs="TimesNewRoman"/>
          <w:kern w:val="0"/>
          <w:sz w:val="32"/>
          <w:szCs w:val="32"/>
        </w:rPr>
        <w:t>等领域。</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年财政拨款收支总表的说明</w:t>
      </w:r>
    </w:p>
    <w:p w14:paraId="7B5FAE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杨庄街道办事处2025年财政拨款收支预2519.16万元。收入资金来源均为一般公共预算拨款2519.16万元；按资金年度分为：本年财政拨款收入2519.16万元。</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支出按功能分类分为：一般公共服务支出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2144.26</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85.12</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%；社会保障和就业支出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45.61</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1.8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%；卫生健康支出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71.29</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%；住房保障支出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68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2.7</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%；城乡社区支出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190</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7.5</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其他支出预备费</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25</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1</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%。其中基本支出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790.38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万元，项目支出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1728.78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杨庄街道办事处2025年一般公共预算支出2519.16万元，比2024年预算减少50.79万元，基本与上年持平。</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一般公共服务支出2144.26万元，占85.12%；社会保障和就业支出45.61万元，占1.8%；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卫生健康支出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71.29</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%；住房保障支出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68</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2.7</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%；城乡社区支出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190</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7.5</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其他支出预备费</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25</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万元，占</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1</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5C8C6C8A">
      <w:pPr>
        <w:ind w:firstLine="640" w:firstLineChars="200"/>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1、一般公共服务支出（类）财政事务（款）行政运行（项）2025年预算258.5万元；比2024年预算增减少773.7万元，下降75%，原因主要是由于科目调剂，将资金分配到具体科目。</w:t>
      </w:r>
    </w:p>
    <w:p w14:paraId="34512B21">
      <w:pPr>
        <w:ind w:firstLine="640" w:firstLineChars="200"/>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2、一般公共服务支出（类）财政事务（款）一般行政管理事务（项）2025年预算395.38万元，比2024年预算增加13.82万元，增长3.6%，原因主要是人员调入。</w:t>
      </w:r>
    </w:p>
    <w:p w14:paraId="48749788">
      <w:pPr>
        <w:ind w:firstLine="640" w:firstLineChars="200"/>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3、社会保障和就业支出（类）行政事业单位离退休（款）归口管理的行政事业单位离退休（项）2025年预算45.61万元，比2024年预算增加9.72万元，增长27%，原因主要是人员变动及补缴社保人员增加。</w:t>
      </w:r>
    </w:p>
    <w:p w14:paraId="3DBC0FF0">
      <w:pPr>
        <w:ind w:firstLine="640" w:firstLineChars="200"/>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4、住房保障支出（类）住房改革支出（款）住房公积金（项）2025年预算68万元，比2024年预算增加19.04万元，增长38.9%，原因主要是人员调入，公积金增加。</w:t>
      </w:r>
    </w:p>
    <w:p w14:paraId="3C18DF89">
      <w:pPr>
        <w:ind w:firstLine="640" w:firstLineChars="200"/>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5、</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卫生健康支出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71.29</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万元，比</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2024</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年预算</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减少1.9</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基本与上年持平</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年一般公共预算基本支出表的说明</w:t>
      </w:r>
    </w:p>
    <w:p w14:paraId="52B8B05E">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杨庄街道办事处2025年一般公共预算基本支出803.83 万元，其中，人员经费783.08万元，公用经费20.74万元。</w:t>
      </w:r>
    </w:p>
    <w:p w14:paraId="1A4CC194">
      <w:pPr>
        <w:ind w:firstLine="640" w:firstLineChars="200"/>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一）人员经费783.08万元，主要包括:基本工资107.78万元、津贴补贴42.63万元、奖金46.81万元、绩效工资51.34万元、机关事业单位基本养老保险费29.76万元、职业年金缴费14.88万元、职工基本医疗保险缴费13.39万元、公务员医疗补助缴费5.38万元、其他社会保障缴费0.98万元、工会经费3.54万元、福利费0.12万元、住房公积金68万元、医疗费0.33万元、其他工资福利支出391.83万元、退休费3.71万元、生活补助2.6万元、医疗费补助0.33万元、对其他个人和家庭的补助支出6.65万元等。</w:t>
      </w:r>
    </w:p>
    <w:p w14:paraId="1720C040">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（二）公用经费20.74万元，主要包括：差旅费4.68万元、维修（护）费5万元、其他交通费用11.06。</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年政府性基金预算支出表的说明</w:t>
      </w:r>
    </w:p>
    <w:p w14:paraId="1D97EAFF">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年国有资本经营预算支出表的说明</w:t>
      </w:r>
    </w:p>
    <w:p w14:paraId="1ED706A3">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年项目支出表的说明</w:t>
      </w:r>
    </w:p>
    <w:p w14:paraId="1DDA409C">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杨庄街道办事处2025年预算共安排项目支出1782.78万元，比2024年预算减少192.21万元，下降10%，原因主要是项目经费压减。</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年政府采购支出表的说明</w:t>
      </w:r>
    </w:p>
    <w:p w14:paraId="2DA8C83A">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杨庄街道办事处2025年没有使用一般公共预算拨款、政府性基金预算拨款、国有资本经营预算拨款、财政专户管理资金和单位资金安排的政府采购支出。</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年政府购买服务支出表的说明</w:t>
      </w:r>
    </w:p>
    <w:p w14:paraId="26777B98">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杨庄街道办事处2025年没有安排政府购买服务支出。</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1C00A4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TimesNewRoman" w:hAnsi="TimesNewRoman" w:eastAsia="仿宋_GB2312" w:cs="TimesNewRoman"/>
          <w:b/>
          <w:sz w:val="32"/>
          <w:szCs w:val="32"/>
        </w:rPr>
      </w:pPr>
      <w:r>
        <w:rPr>
          <w:rFonts w:hint="default" w:ascii="仿宋" w:hAnsi="仿宋" w:eastAsia="仿宋" w:cs="仿宋"/>
          <w:i w:val="0"/>
          <w:caps w:val="0"/>
          <w:color w:val="333333"/>
          <w:spacing w:val="0"/>
          <w:sz w:val="32"/>
          <w:szCs w:val="32"/>
          <w:shd w:val="clear" w:color="auto" w:fill="FFFFFF"/>
        </w:rPr>
        <w:t>烈山区</w:t>
      </w:r>
      <w:r>
        <w:rPr>
          <w:rFonts w:hint="eastAsia" w:ascii="仿宋" w:hAnsi="仿宋" w:eastAsia="仿宋" w:cs="仿宋"/>
          <w:i w:val="0"/>
          <w:caps w:val="0"/>
          <w:color w:val="333333"/>
          <w:spacing w:val="0"/>
          <w:sz w:val="32"/>
          <w:szCs w:val="32"/>
          <w:shd w:val="clear" w:color="auto" w:fill="FFFFFF"/>
          <w:lang w:eastAsia="zh-CN"/>
        </w:rPr>
        <w:t>杨庄</w:t>
      </w:r>
      <w:r>
        <w:rPr>
          <w:rFonts w:hint="eastAsia" w:ascii="仿宋" w:hAnsi="仿宋" w:eastAsia="仿宋" w:cs="仿宋"/>
          <w:i w:val="0"/>
          <w:caps w:val="0"/>
          <w:color w:val="333333"/>
          <w:spacing w:val="0"/>
          <w:sz w:val="32"/>
          <w:szCs w:val="32"/>
          <w:shd w:val="clear" w:color="auto" w:fill="FFFFFF"/>
          <w:lang w:val="en-US" w:eastAsia="zh-CN"/>
        </w:rPr>
        <w:t>街道办事处</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5</w:t>
      </w:r>
      <w:r>
        <w:rPr>
          <w:rFonts w:hint="default" w:ascii="仿宋" w:hAnsi="仿宋" w:eastAsia="仿宋" w:cs="仿宋"/>
          <w:i w:val="0"/>
          <w:caps w:val="0"/>
          <w:color w:val="333333"/>
          <w:spacing w:val="0"/>
          <w:sz w:val="32"/>
          <w:szCs w:val="32"/>
          <w:shd w:val="clear" w:color="auto" w:fill="FFFFFF"/>
        </w:rPr>
        <w:t>年没有设立绩效考核项目。</w:t>
      </w:r>
    </w:p>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E3F2267">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杨庄街道办事处2025年机关运行经费财政拨款预算803.83万元，比2024年预算增加150.56万元，增长23%，原因主要是人员调入，人员经费工资福利支出增加。</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0EB3A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杨庄街道办事处2025年政府采购预算15万元。</w:t>
      </w:r>
      <w:r>
        <w:rPr>
          <w:rFonts w:hint="default" w:ascii="仿宋_GB2312" w:hAnsi="仿宋" w:eastAsia="仿宋_GB2312" w:cs="仿宋_GB2312"/>
          <w:i w:val="0"/>
          <w:caps w:val="0"/>
          <w:color w:val="333333"/>
          <w:spacing w:val="0"/>
          <w:sz w:val="32"/>
          <w:szCs w:val="32"/>
          <w:shd w:val="clear" w:color="auto" w:fill="FFFFFF"/>
        </w:rPr>
        <w:t>政府采购没有详细的预算安排，主要用于办公设备购置。</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074734DC">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街道办事处</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固定资产总额为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749.5</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万元。</w:t>
      </w:r>
    </w:p>
    <w:p w14:paraId="47E93E04">
      <w:pPr>
        <w:ind w:firstLine="640" w:firstLineChars="200"/>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pP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截至2024年12月31日，淮北市</w:t>
      </w:r>
      <w:r>
        <w:rPr>
          <w:rFonts w:hint="default" w:ascii="仿宋_GB2312" w:hAnsi="仿宋" w:eastAsia="仿宋_GB2312" w:cs="仿宋_GB2312"/>
          <w:i w:val="0"/>
          <w:caps w:val="0"/>
          <w:color w:val="333333"/>
          <w:spacing w:val="0"/>
          <w:kern w:val="0"/>
          <w:sz w:val="32"/>
          <w:szCs w:val="32"/>
          <w:highlight w:val="none"/>
          <w:shd w:val="clear" w:color="auto" w:fill="FFFFFF"/>
          <w:lang w:val="en-US" w:eastAsia="zh-CN" w:bidi="ar-SA"/>
        </w:rPr>
        <w:t>烈山区</w:t>
      </w:r>
      <w:r>
        <w:rPr>
          <w:rFonts w:hint="eastAsia" w:ascii="仿宋_GB2312" w:hAnsi="仿宋" w:eastAsia="仿宋_GB2312" w:cs="仿宋_GB2312"/>
          <w:i w:val="0"/>
          <w:caps w:val="0"/>
          <w:color w:val="333333"/>
          <w:spacing w:val="0"/>
          <w:kern w:val="0"/>
          <w:sz w:val="32"/>
          <w:szCs w:val="32"/>
          <w:highlight w:val="none"/>
          <w:shd w:val="clear" w:color="auto" w:fill="FFFFFF"/>
          <w:lang w:val="en-US" w:eastAsia="zh-CN" w:bidi="ar-SA"/>
        </w:rPr>
        <w:t>杨庄街道办事处共有车辆12辆，其中：执法执勤用车5辆、特种专业技术用车6辆、其他用车1辆。</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6FD004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 w:hAnsi="仿宋" w:eastAsia="仿宋" w:cs="仿宋"/>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淮北市</w:t>
      </w:r>
      <w:r>
        <w:rPr>
          <w:rFonts w:hint="default" w:ascii="仿宋" w:hAnsi="仿宋" w:eastAsia="仿宋" w:cs="仿宋"/>
          <w:i w:val="0"/>
          <w:caps w:val="0"/>
          <w:color w:val="333333"/>
          <w:spacing w:val="0"/>
          <w:sz w:val="32"/>
          <w:szCs w:val="32"/>
          <w:shd w:val="clear" w:color="auto" w:fill="FFFFFF"/>
        </w:rPr>
        <w:t>烈山区</w:t>
      </w:r>
      <w:r>
        <w:rPr>
          <w:rFonts w:hint="eastAsia" w:ascii="仿宋" w:hAnsi="仿宋" w:eastAsia="仿宋" w:cs="仿宋"/>
          <w:i w:val="0"/>
          <w:caps w:val="0"/>
          <w:color w:val="333333"/>
          <w:spacing w:val="0"/>
          <w:sz w:val="32"/>
          <w:szCs w:val="32"/>
          <w:shd w:val="clear" w:color="auto" w:fill="FFFFFF"/>
          <w:lang w:eastAsia="zh-CN"/>
        </w:rPr>
        <w:t>杨庄办</w:t>
      </w:r>
      <w:r>
        <w:rPr>
          <w:rFonts w:hint="default" w:ascii="仿宋" w:hAnsi="仿宋" w:eastAsia="仿宋" w:cs="仿宋"/>
          <w:i w:val="0"/>
          <w:caps w:val="0"/>
          <w:color w:val="333333"/>
          <w:spacing w:val="0"/>
          <w:sz w:val="32"/>
          <w:szCs w:val="32"/>
          <w:shd w:val="clear" w:color="auto" w:fill="FFFFFF"/>
        </w:rPr>
        <w:t>人民政府</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rPr>
        <w:t>年项目支出按规定设置支出绩效目标，没有设立绩效考核项目，实行部门自评或第三方评价。</w:t>
      </w:r>
    </w:p>
    <w:p w14:paraId="5B7650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caps w:val="0"/>
          <w:color w:val="333333"/>
          <w:spacing w:val="0"/>
          <w:sz w:val="32"/>
          <w:szCs w:val="32"/>
          <w:shd w:val="clear" w:color="auto" w:fill="FFFFFF"/>
        </w:rPr>
      </w:pP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22AEA0B1"/>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bookmarkStart w:id="0" w:name="_GoBack"/>
      <w:bookmarkEnd w:id="0"/>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68E930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1A441E5"/>
    <w:rsid w:val="0675247B"/>
    <w:rsid w:val="0D6C5461"/>
    <w:rsid w:val="0E6748E0"/>
    <w:rsid w:val="1C56155A"/>
    <w:rsid w:val="1DA00DA1"/>
    <w:rsid w:val="1E756287"/>
    <w:rsid w:val="2A331FC6"/>
    <w:rsid w:val="2B0B2F20"/>
    <w:rsid w:val="2E5073D1"/>
    <w:rsid w:val="2F4A51C3"/>
    <w:rsid w:val="37980FFF"/>
    <w:rsid w:val="38685317"/>
    <w:rsid w:val="3C1D11F6"/>
    <w:rsid w:val="3DC20C93"/>
    <w:rsid w:val="40A36770"/>
    <w:rsid w:val="4EC5306C"/>
    <w:rsid w:val="5002300A"/>
    <w:rsid w:val="52C248BC"/>
    <w:rsid w:val="57E97DCB"/>
    <w:rsid w:val="59987504"/>
    <w:rsid w:val="5FB94F9B"/>
    <w:rsid w:val="65266902"/>
    <w:rsid w:val="720D48A4"/>
    <w:rsid w:val="74A9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3975</Words>
  <Characters>4600</Characters>
  <Lines>46</Lines>
  <Paragraphs>13</Paragraphs>
  <TotalTime>1</TotalTime>
  <ScaleCrop>false</ScaleCrop>
  <LinksUpToDate>false</LinksUpToDate>
  <CharactersWithSpaces>4654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张灯结彩</cp:lastModifiedBy>
  <dcterms:modified xsi:type="dcterms:W3CDTF">2026-01-26T07:45:10Z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eyJoZGlkIjoiMTI5NTZmOTVjMDRjYWVmYzAxZDY5MThlOGYxZWQzNmMiLCJ1c2VySWQiOiI2OTI2ODUxOTgifQ==</vt:lpwstr>
  </property>
  <property fmtid="{D5CDD505-2E9C-101B-9397-08002B2CF9AE}" pid="3" name="KSOProductBuildVer">
    <vt:lpwstr>2052-12.1.0.24657</vt:lpwstr>
  </property>
  <property fmtid="{D5CDD505-2E9C-101B-9397-08002B2CF9AE}" pid="4" name="ICV">
    <vt:lpwstr>6A35CDC5D9C34C3289C03AD46909FB03_13</vt:lpwstr>
  </property>
</Properties>
</file>