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34018">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6560D659"/>
    <w:p w14:paraId="3B8DA29D"/>
    <w:p w14:paraId="613FAC41"/>
    <w:p w14:paraId="01D7FA32"/>
    <w:p w14:paraId="370ABF76"/>
    <w:p w14:paraId="15AF5247"/>
    <w:p w14:paraId="115BB2CC"/>
    <w:p w14:paraId="62EC6955"/>
    <w:p w14:paraId="17DBAA6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烈山区机关事务管理中心2026</w:t>
      </w:r>
      <w:r>
        <w:rPr>
          <w:rFonts w:hint="eastAsia" w:ascii="TimesNewRoman" w:hAnsi="TimesNewRoman" w:eastAsia="华文中宋" w:cs="TimesNewRoman"/>
          <w:b/>
          <w:sz w:val="44"/>
          <w:szCs w:val="44"/>
        </w:rPr>
        <w:t>年</w:t>
      </w:r>
    </w:p>
    <w:p w14:paraId="10F180B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单位预算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5"/>
        <w:adjustRightInd w:val="0"/>
        <w:snapToGrid w:val="0"/>
        <w:spacing w:line="560" w:lineRule="exact"/>
        <w:jc w:val="center"/>
        <w:rPr>
          <w:rFonts w:ascii="TimesNewRoman" w:hAnsi="TimesNewRoman" w:eastAsia="黑体" w:cs="TimesNewRoman"/>
          <w:bCs/>
          <w:sz w:val="44"/>
          <w:szCs w:val="44"/>
        </w:rPr>
      </w:pPr>
    </w:p>
    <w:p w14:paraId="4B5606AC">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7BC613AF">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单位概况</w:t>
      </w:r>
    </w:p>
    <w:p w14:paraId="3730874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0D2722F7">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14:paraId="2AB5B4E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年度主要工作任务</w:t>
      </w:r>
    </w:p>
    <w:p w14:paraId="0A753956">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年单位预算表</w:t>
      </w:r>
    </w:p>
    <w:p w14:paraId="7EBE54D9">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年收支总表</w:t>
      </w:r>
    </w:p>
    <w:p w14:paraId="7DDF5B2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年收入总表</w:t>
      </w:r>
    </w:p>
    <w:p w14:paraId="69DC67B9">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年支出总表</w:t>
      </w:r>
    </w:p>
    <w:p w14:paraId="6BE30C77">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年财政拨款收支总表</w:t>
      </w:r>
    </w:p>
    <w:p w14:paraId="397CD6A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年一般公共预算支出表</w:t>
      </w:r>
    </w:p>
    <w:p w14:paraId="5235B3D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年一般公共预算基本支出表</w:t>
      </w:r>
    </w:p>
    <w:p w14:paraId="5FC89A5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年政府性基金预算支出表</w:t>
      </w:r>
    </w:p>
    <w:p w14:paraId="603E418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年国有资本经营预算支出表</w:t>
      </w:r>
    </w:p>
    <w:p w14:paraId="13E37BF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年项目支出表</w:t>
      </w:r>
    </w:p>
    <w:p w14:paraId="24D625FD">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年政府采购支出表</w:t>
      </w:r>
    </w:p>
    <w:p w14:paraId="5AF4BBD1">
      <w:pPr>
        <w:pStyle w:val="5"/>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年政府购买服务支出表</w:t>
      </w:r>
    </w:p>
    <w:p w14:paraId="08BE54A5">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烈山区机关事务管理中心2026</w:t>
      </w:r>
      <w:r>
        <w:rPr>
          <w:rFonts w:ascii="TimesNewRoman" w:hAnsi="TimesNewRoman" w:eastAsia="仿宋_GB2312" w:cs="TimesNewRoman"/>
          <w:bCs/>
          <w:sz w:val="32"/>
          <w:szCs w:val="32"/>
        </w:rPr>
        <w:t>年通用资产配置支出表</w:t>
      </w:r>
    </w:p>
    <w:p w14:paraId="6857293F">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年单位预算情况说明</w:t>
      </w:r>
    </w:p>
    <w:p w14:paraId="6E53917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62E3CE52">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3209ACF0">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5"/>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年部门预算纳入绩效考评项目表</w:t>
      </w:r>
    </w:p>
    <w:p w14:paraId="46959CAF">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烈山区机关事务管理中心2026</w:t>
      </w:r>
      <w:r>
        <w:rPr>
          <w:rFonts w:hint="eastAsia" w:ascii="TimesNewRoman" w:hAnsi="TimesNewRoman" w:eastAsia="仿宋_GB2312" w:cs="TimesNewRoman"/>
          <w:bCs/>
          <w:sz w:val="32"/>
          <w:szCs w:val="32"/>
        </w:rPr>
        <w:t>年部门预算专项资金管理清单（专栏公开）</w:t>
      </w:r>
    </w:p>
    <w:p w14:paraId="7E456C19">
      <w:pPr>
        <w:pStyle w:val="5"/>
        <w:adjustRightInd w:val="0"/>
        <w:snapToGrid w:val="0"/>
        <w:spacing w:line="400" w:lineRule="exact"/>
        <w:ind w:firstLine="800" w:firstLineChars="250"/>
        <w:rPr>
          <w:rFonts w:ascii="TimesNewRoman" w:hAnsi="TimesNewRoman" w:eastAsia="仿宋_GB2312" w:cs="TimesNewRoman"/>
          <w:bCs/>
          <w:sz w:val="32"/>
          <w:szCs w:val="32"/>
        </w:rPr>
      </w:pPr>
    </w:p>
    <w:p w14:paraId="3A6D182F">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单位概况</w:t>
      </w:r>
    </w:p>
    <w:p w14:paraId="5D26A40D"/>
    <w:p w14:paraId="6C8BCE8E">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27C99A0F">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val="en-US" w:eastAsia="zh-CN"/>
        </w:rPr>
        <w:t>（一）负责区机关事务的管理、保障、服务工作；拟订区机关事务工作的相关政策、规划和规章制度并组织实施。</w:t>
      </w:r>
    </w:p>
    <w:p w14:paraId="7F60AC1F">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（二）组织拟订全区机关事务相关规定并监督实施。</w:t>
      </w:r>
    </w:p>
    <w:p w14:paraId="676F84B0">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（三）负责区党政机关国内公务接待管理工作。</w:t>
      </w:r>
    </w:p>
    <w:p w14:paraId="334B172A">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（四）负责区直机关办公用房管理工作；负责区直机关办公用房的调配使用和修缮管理工作。</w:t>
      </w:r>
    </w:p>
    <w:p w14:paraId="461BAA22">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（五）负责区直机关节约能源管理工作；积极推进全区公共机构节能工作；会同有关部门制定相关规划、规章制度并组织实施；组织开展能耗统计、监测和评价考核工作。</w:t>
      </w:r>
    </w:p>
    <w:p w14:paraId="592FA8DE">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（六）负责区政府大楼和招商大楼等的后勤服务保障以及安全保卫和综合治理工作。</w:t>
      </w:r>
    </w:p>
    <w:p w14:paraId="0A2C8275">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（七）负责区委、区政府和区直单位有关全区性会议的服务保障工作。</w:t>
      </w:r>
    </w:p>
    <w:p w14:paraId="4289565C">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（八）负责区机关食堂的建设和管理工作。</w:t>
      </w:r>
    </w:p>
    <w:p w14:paraId="6167843B">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（九）负责区委、区政府公务用车配备计划、更新等管理工作。</w:t>
      </w:r>
    </w:p>
    <w:p w14:paraId="096A8B3C">
      <w:pPr>
        <w:pStyle w:val="5"/>
        <w:adjustRightInd w:val="0"/>
        <w:snapToGrid w:val="0"/>
        <w:spacing w:line="560" w:lineRule="exact"/>
        <w:ind w:firstLine="627" w:firstLineChars="196"/>
        <w:rPr>
          <w:rFonts w:hint="eastAsia" w:ascii="TimesNewRoman" w:hAnsi="TimesNewRoman" w:eastAsia="仿宋_GB2312" w:cs="TimesNewRoman"/>
          <w:bCs/>
          <w:sz w:val="32"/>
          <w:szCs w:val="32"/>
        </w:rPr>
      </w:pPr>
      <w:r>
        <w:rPr>
          <w:rFonts w:hint="default" w:ascii="TimesNewRoman" w:hAnsi="TimesNewRoman" w:eastAsia="仿宋_GB2312" w:cs="TimesNewRoman"/>
          <w:bCs/>
          <w:sz w:val="32"/>
          <w:szCs w:val="32"/>
          <w:lang w:val="en-US" w:eastAsia="zh-CN"/>
        </w:rPr>
        <w:t>（十）承办区委、区政府交办的其他事项。</w:t>
      </w:r>
    </w:p>
    <w:p w14:paraId="1575507E">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二、部门（单位）预算构成</w:t>
      </w:r>
    </w:p>
    <w:p w14:paraId="5339CD3F">
      <w:pPr>
        <w:pStyle w:val="5"/>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烈山区机关事务管理中心</w:t>
      </w:r>
      <w:r>
        <w:rPr>
          <w:rFonts w:hint="eastAsia" w:ascii="TimesNewRoman" w:hAnsi="TimesNewRoman" w:eastAsia="仿宋_GB2312" w:cs="TimesNewRoman"/>
          <w:sz w:val="32"/>
          <w:szCs w:val="32"/>
          <w:lang w:eastAsia="zh-CN"/>
        </w:rPr>
        <w:t>2026</w:t>
      </w:r>
      <w:r>
        <w:rPr>
          <w:rFonts w:hint="eastAsia" w:ascii="TimesNewRoman" w:hAnsi="TimesNewRoman" w:eastAsia="仿宋_GB2312" w:cs="TimesNewRoman"/>
          <w:sz w:val="32"/>
          <w:szCs w:val="32"/>
        </w:rPr>
        <w:t>年度部门预算仅包括</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烈山区机关事务管理中心</w:t>
      </w:r>
      <w:r>
        <w:rPr>
          <w:rFonts w:hint="eastAsia" w:ascii="TimesNewRoman" w:hAnsi="TimesNewRoman" w:eastAsia="仿宋_GB2312" w:cs="TimesNewRoman"/>
          <w:sz w:val="32"/>
          <w:szCs w:val="32"/>
        </w:rPr>
        <w:t>本级预算，无其他下属单位预算。</w:t>
      </w:r>
    </w:p>
    <w:p w14:paraId="4D505D65">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7E2EECB4">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（一）全力以赴，做好公车平台日常运行管理工作。</w:t>
      </w:r>
    </w:p>
    <w:p w14:paraId="7376CF23">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（二）狠抓落实，大力推进公共机构节能减排工作。</w:t>
      </w:r>
    </w:p>
    <w:p w14:paraId="1ECA53F7">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（三）科学谋划，持续推进党政机关办公用房常态化管理。</w:t>
      </w:r>
    </w:p>
    <w:p w14:paraId="38D6FC6F">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（四）扎实推进，做好政府办公大楼日常管理工作。</w:t>
      </w:r>
    </w:p>
    <w:p w14:paraId="36FD9D63">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（五）精心谋划，圆满完成区委区政府各项接待任务。</w:t>
      </w:r>
    </w:p>
    <w:p w14:paraId="091C9B2E">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（六）强化管理，着力提高机关食堂服务质量。</w:t>
      </w:r>
    </w:p>
    <w:p w14:paraId="27C6EFAF">
      <w:pPr>
        <w:ind w:firstLine="640" w:firstLineChars="200"/>
        <w:rPr>
          <w:rFonts w:hint="eastAsia" w:ascii="TimesNewRoman" w:hAnsi="TimesNewRoman" w:eastAsia="仿宋_GB2312" w:cs="TimesNewRoman"/>
          <w:bCs/>
          <w:kern w:val="0"/>
          <w:sz w:val="32"/>
          <w:szCs w:val="32"/>
          <w:lang w:val="en-US" w:eastAsia="zh-CN" w:bidi="ar-SA"/>
        </w:rPr>
      </w:pPr>
      <w:r>
        <w:rPr>
          <w:rFonts w:hint="default" w:ascii="TimesNewRoman" w:hAnsi="TimesNewRoman" w:eastAsia="仿宋_GB2312" w:cs="TimesNewRoman"/>
          <w:bCs/>
          <w:kern w:val="0"/>
          <w:sz w:val="32"/>
          <w:szCs w:val="32"/>
          <w:lang w:val="en-US" w:eastAsia="zh-CN" w:bidi="ar-SA"/>
        </w:rPr>
        <w:t>（七）顺利完成区委区政府及上级部门交办的各项工作。</w:t>
      </w:r>
    </w:p>
    <w:p w14:paraId="5AB3384A"/>
    <w:p w14:paraId="52F0EA3D">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年单位预算表</w:t>
      </w:r>
    </w:p>
    <w:p w14:paraId="4A22B434">
      <w:pPr>
        <w:pStyle w:val="5"/>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2D0C2C7F">
      <w:r>
        <w:t xml:space="preserve">                                        </w:t>
      </w:r>
    </w:p>
    <w:p w14:paraId="2CEFCEE0">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年单位预算情况说明</w:t>
      </w:r>
    </w:p>
    <w:p w14:paraId="387E301D"/>
    <w:p w14:paraId="437BF887">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60FD10A1">
      <w:pPr>
        <w:pStyle w:val="5"/>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烈山区机关事务管理中心</w:t>
      </w:r>
      <w:r>
        <w:rPr>
          <w:rFonts w:hint="eastAsia" w:ascii="TimesNewRoman" w:hAnsi="TimesNewRoman" w:eastAsia="仿宋_GB2312" w:cs="TimesNewRoman"/>
          <w:sz w:val="32"/>
          <w:szCs w:val="32"/>
        </w:rPr>
        <w:t>所有收入和支出均纳入单位预算管理。淮北市</w:t>
      </w:r>
      <w:r>
        <w:rPr>
          <w:rFonts w:hint="eastAsia" w:ascii="TimesNewRoman" w:hAnsi="TimesNewRoman" w:eastAsia="仿宋_GB2312" w:cs="TimesNewRoman"/>
          <w:sz w:val="32"/>
          <w:szCs w:val="32"/>
          <w:lang w:eastAsia="zh-CN"/>
        </w:rPr>
        <w:t>烈山区机关事务管理中心2026</w:t>
      </w:r>
      <w:r>
        <w:rPr>
          <w:rFonts w:hint="eastAsia"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2740.76</w:t>
      </w:r>
      <w:r>
        <w:rPr>
          <w:rFonts w:hint="eastAsia" w:ascii="TimesNewRoman" w:hAnsi="TimesNewRoman" w:eastAsia="仿宋_GB2312" w:cs="TimesNewRoman"/>
          <w:sz w:val="32"/>
          <w:szCs w:val="32"/>
        </w:rPr>
        <w:t>万元，收入全部是一般公共预算拨款收入</w:t>
      </w:r>
      <w:r>
        <w:rPr>
          <w:rFonts w:hint="eastAsia" w:ascii="TimesNewRoman" w:hAnsi="TimesNewRoman" w:eastAsia="仿宋_GB2312" w:cs="TimesNewRoman"/>
          <w:sz w:val="32"/>
          <w:szCs w:val="32"/>
          <w:lang w:val="en-US" w:eastAsia="zh-CN"/>
        </w:rPr>
        <w:t>2740.76</w:t>
      </w:r>
      <w:r>
        <w:rPr>
          <w:rFonts w:hint="eastAsia" w:ascii="TimesNewRoman" w:hAnsi="TimesNewRoman" w:eastAsia="仿宋_GB2312" w:cs="TimesNewRoman"/>
          <w:sz w:val="32"/>
          <w:szCs w:val="32"/>
        </w:rPr>
        <w:t>万元</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sz w:val="32"/>
          <w:szCs w:val="32"/>
        </w:rPr>
        <w:t>支出包括：一般公共服务支出、社会保障和就业支出、卫生健康支出、住房保障支出、</w:t>
      </w:r>
      <w:r>
        <w:rPr>
          <w:rFonts w:hint="eastAsia" w:ascii="TimesNewRoman" w:hAnsi="TimesNewRoman" w:eastAsia="仿宋_GB2312" w:cs="TimesNewRoman"/>
          <w:kern w:val="0"/>
          <w:sz w:val="32"/>
          <w:szCs w:val="32"/>
          <w:lang w:val="en-US" w:eastAsia="zh-CN"/>
        </w:rPr>
        <w:t>城乡社区支出</w:t>
      </w:r>
      <w:r>
        <w:rPr>
          <w:rFonts w:hint="eastAsia" w:ascii="TimesNewRoman" w:hAnsi="TimesNewRoman" w:eastAsia="仿宋_GB2312" w:cs="TimesNewRoman"/>
          <w:sz w:val="32"/>
          <w:szCs w:val="32"/>
        </w:rPr>
        <w:t>。</w:t>
      </w:r>
    </w:p>
    <w:p w14:paraId="25CF77ED">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4B342A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kern w:val="0"/>
          <w:sz w:val="32"/>
          <w:szCs w:val="32"/>
          <w:lang w:val="en-US" w:eastAsia="zh-CN"/>
        </w:rPr>
        <w:t>2740.76</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2740.76</w:t>
      </w:r>
      <w:r>
        <w:rPr>
          <w:rFonts w:hint="eastAsia" w:ascii="TimesNewRoman" w:hAnsi="TimesNewRoman" w:eastAsia="仿宋_GB2312" w:cs="TimesNewRoman"/>
          <w:kern w:val="0"/>
          <w:sz w:val="32"/>
          <w:szCs w:val="32"/>
        </w:rPr>
        <w:t>万元。</w:t>
      </w:r>
    </w:p>
    <w:p w14:paraId="470FB69D">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2740.76</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2740.76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32.03</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1.16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本中心牢固树立过“紧日子”思想，严格落实厉行节约、精打细算的工作要求，压减非刚性、非必要开支</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本单位无政府性基金预算拨款收入</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本单位无财政专户管理资金收入</w:t>
      </w:r>
      <w:r>
        <w:rPr>
          <w:rFonts w:hint="eastAsia" w:ascii="TimesNewRoman" w:hAnsi="TimesNewRoman" w:eastAsia="仿宋_GB2312" w:cs="TimesNewRoman"/>
          <w:kern w:val="0"/>
          <w:sz w:val="32"/>
          <w:szCs w:val="32"/>
        </w:rPr>
        <w:t>。</w:t>
      </w:r>
    </w:p>
    <w:p w14:paraId="0F1AB234">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0A50B1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kern w:val="0"/>
          <w:sz w:val="32"/>
          <w:szCs w:val="32"/>
          <w:lang w:val="en-US" w:eastAsia="zh-CN"/>
        </w:rPr>
        <w:t>2740.76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32.03</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1.16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本中心牢固树立过“紧日子”思想，严格落实厉行节约、精打细算的工作要求，压减非刚性、非必要开支</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443.36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16.18</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2297.4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83.82</w:t>
      </w:r>
      <w:r>
        <w:rPr>
          <w:rFonts w:hint="eastAsia" w:ascii="TimesNewRoman" w:hAnsi="TimesNewRoman" w:eastAsia="仿宋_GB2312" w:cs="TimesNewRoman"/>
          <w:kern w:val="0"/>
          <w:sz w:val="32"/>
          <w:szCs w:val="32"/>
        </w:rPr>
        <w:t>%，主要用于</w:t>
      </w:r>
      <w:r>
        <w:rPr>
          <w:rFonts w:hint="eastAsia" w:ascii="TimesNewRoman" w:hAnsi="TimesNewRoman" w:eastAsia="仿宋_GB2312" w:cs="TimesNewRoman"/>
          <w:kern w:val="0"/>
          <w:sz w:val="32"/>
          <w:szCs w:val="32"/>
          <w:lang w:eastAsia="zh-CN"/>
        </w:rPr>
        <w:t>做好</w:t>
      </w:r>
      <w:r>
        <w:rPr>
          <w:rFonts w:hint="default" w:ascii="仿宋_GB2312" w:hAnsi="宋体" w:eastAsia="仿宋_GB2312" w:cs="仿宋_GB2312"/>
          <w:i w:val="0"/>
          <w:iCs w:val="0"/>
          <w:caps w:val="0"/>
          <w:color w:val="333333"/>
          <w:spacing w:val="0"/>
          <w:kern w:val="0"/>
          <w:sz w:val="32"/>
          <w:szCs w:val="32"/>
          <w:shd w:val="clear" w:color="auto" w:fill="FFFFFF"/>
          <w:lang w:val="en-US" w:eastAsia="zh-CN" w:bidi="ar"/>
        </w:rPr>
        <w:t>机关事务管理、公车平台和机关食堂运行</w:t>
      </w:r>
      <w:r>
        <w:rPr>
          <w:rFonts w:hint="eastAsia" w:ascii="仿宋_GB2312" w:hAnsi="宋体" w:eastAsia="仿宋_GB2312" w:cs="仿宋_GB2312"/>
          <w:i w:val="0"/>
          <w:iCs w:val="0"/>
          <w:caps w:val="0"/>
          <w:color w:val="333333"/>
          <w:spacing w:val="0"/>
          <w:kern w:val="0"/>
          <w:sz w:val="32"/>
          <w:szCs w:val="32"/>
          <w:shd w:val="clear" w:color="auto" w:fill="FFFFFF"/>
          <w:lang w:val="en-US" w:eastAsia="zh-CN" w:bidi="ar"/>
        </w:rPr>
        <w:t>等后勤保障工作</w:t>
      </w:r>
      <w:r>
        <w:rPr>
          <w:rFonts w:hint="eastAsia" w:ascii="TimesNewRoman" w:hAnsi="TimesNewRoman" w:eastAsia="仿宋_GB2312" w:cs="TimesNewRoman"/>
          <w:kern w:val="0"/>
          <w:sz w:val="32"/>
          <w:szCs w:val="32"/>
        </w:rPr>
        <w:t>。</w:t>
      </w:r>
    </w:p>
    <w:p w14:paraId="1122B573">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20AF9ED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2740.76</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2740.76</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2740.76</w:t>
      </w:r>
      <w:r>
        <w:rPr>
          <w:rFonts w:hint="eastAsia" w:ascii="TimesNewRoman" w:hAnsi="TimesNewRoman" w:eastAsia="仿宋_GB2312" w:cs="TimesNewRoman"/>
          <w:kern w:val="0"/>
          <w:sz w:val="32"/>
          <w:szCs w:val="32"/>
        </w:rPr>
        <w:t>万元。支出按功能分类分为：一般公共服务支出</w:t>
      </w:r>
      <w:r>
        <w:rPr>
          <w:rFonts w:hint="eastAsia" w:ascii="TimesNewRoman" w:hAnsi="TimesNewRoman" w:eastAsia="仿宋_GB2312" w:cs="TimesNewRoman"/>
          <w:kern w:val="0"/>
          <w:sz w:val="32"/>
          <w:szCs w:val="32"/>
          <w:lang w:val="en-US" w:eastAsia="zh-CN"/>
        </w:rPr>
        <w:t>305.58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11.15</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84.33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3.08</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12.06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0.44</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41.39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1.51</w:t>
      </w:r>
      <w:r>
        <w:rPr>
          <w:rFonts w:hint="eastAsia" w:ascii="TimesNewRoman" w:hAnsi="TimesNewRoman" w:eastAsia="仿宋_GB2312" w:cs="TimesNewRoman"/>
          <w:kern w:val="0"/>
          <w:sz w:val="32"/>
          <w:szCs w:val="32"/>
        </w:rPr>
        <w:t>%；城乡社区支出</w:t>
      </w:r>
      <w:r>
        <w:rPr>
          <w:rFonts w:hint="eastAsia" w:ascii="TimesNewRoman" w:hAnsi="TimesNewRoman" w:eastAsia="仿宋_GB2312" w:cs="TimesNewRoman"/>
          <w:kern w:val="0"/>
          <w:sz w:val="32"/>
          <w:szCs w:val="32"/>
          <w:lang w:val="en-US" w:eastAsia="zh-CN"/>
        </w:rPr>
        <w:t>2297.4万元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83.82</w:t>
      </w:r>
      <w:r>
        <w:rPr>
          <w:rFonts w:hint="eastAsia" w:ascii="TimesNewRoman" w:hAnsi="TimesNewRoman" w:eastAsia="仿宋_GB2312" w:cs="TimesNewRoman"/>
          <w:kern w:val="0"/>
          <w:sz w:val="32"/>
          <w:szCs w:val="32"/>
        </w:rPr>
        <w:t>%。</w:t>
      </w:r>
    </w:p>
    <w:p w14:paraId="0F14C648">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年一般公共预算支出表的说明</w:t>
      </w:r>
    </w:p>
    <w:p w14:paraId="294C8715">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kern w:val="0"/>
          <w:sz w:val="32"/>
          <w:szCs w:val="32"/>
          <w:lang w:val="en-US" w:eastAsia="zh-CN"/>
        </w:rPr>
        <w:t>2740.76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1012.25</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26.97</w:t>
      </w:r>
      <w:r>
        <w:rPr>
          <w:rFonts w:hint="eastAsia" w:ascii="TimesNewRoman" w:hAnsi="TimesNewRoman" w:eastAsia="仿宋_GB2312" w:cs="TimesNewRoman"/>
          <w:kern w:val="0"/>
          <w:sz w:val="32"/>
          <w:szCs w:val="32"/>
        </w:rPr>
        <w:t>%，主要原因：一是</w:t>
      </w:r>
      <w:r>
        <w:rPr>
          <w:rFonts w:hint="eastAsia" w:ascii="TimesNewRoman" w:hAnsi="TimesNewRoman" w:eastAsia="仿宋_GB2312" w:cs="TimesNewRoman"/>
          <w:kern w:val="0"/>
          <w:sz w:val="32"/>
          <w:szCs w:val="32"/>
          <w:lang w:eastAsia="zh-CN"/>
        </w:rPr>
        <w:t>上年度有未支付资金结转</w:t>
      </w:r>
      <w:r>
        <w:rPr>
          <w:rFonts w:hint="eastAsia" w:ascii="TimesNewRoman" w:hAnsi="TimesNewRoman" w:eastAsia="仿宋_GB2312" w:cs="TimesNewRoman"/>
          <w:kern w:val="0"/>
          <w:sz w:val="32"/>
          <w:szCs w:val="32"/>
        </w:rPr>
        <w:t>；二是</w:t>
      </w:r>
      <w:r>
        <w:rPr>
          <w:rFonts w:hint="eastAsia" w:ascii="TimesNewRoman" w:hAnsi="TimesNewRoman" w:eastAsia="仿宋_GB2312" w:cs="TimesNewRoman"/>
          <w:kern w:val="0"/>
          <w:sz w:val="32"/>
          <w:szCs w:val="32"/>
          <w:lang w:eastAsia="zh-CN"/>
        </w:rPr>
        <w:t>严格落实厉行节约、精打细算的工作要求，压缩预算</w:t>
      </w:r>
      <w:r>
        <w:rPr>
          <w:rFonts w:hint="eastAsia" w:ascii="TimesNewRoman" w:hAnsi="TimesNewRoman" w:eastAsia="仿宋_GB2312" w:cs="TimesNewRoman"/>
          <w:kern w:val="0"/>
          <w:sz w:val="32"/>
          <w:szCs w:val="32"/>
        </w:rPr>
        <w:t>。</w:t>
      </w:r>
    </w:p>
    <w:p w14:paraId="3313D22F">
      <w:pPr>
        <w:pStyle w:val="5"/>
        <w:numPr>
          <w:ilvl w:val="0"/>
          <w:numId w:val="1"/>
        </w:numPr>
        <w:adjustRightInd w:val="0"/>
        <w:snapToGrid w:val="0"/>
        <w:spacing w:line="560" w:lineRule="exact"/>
        <w:ind w:firstLine="630" w:firstLineChars="196"/>
        <w:rPr>
          <w:rFonts w:hint="eastAsia" w:ascii="TimesNewRoman" w:hAnsi="TimesNewRoman" w:eastAsia="楷体_GB2312" w:cs="TimesNewRoman"/>
          <w:b/>
          <w:sz w:val="32"/>
          <w:szCs w:val="32"/>
        </w:rPr>
      </w:pPr>
      <w:r>
        <w:rPr>
          <w:rFonts w:hint="eastAsia" w:ascii="TimesNewRoman" w:hAnsi="TimesNewRoman" w:eastAsia="楷体_GB2312" w:cs="TimesNewRoman"/>
          <w:b/>
          <w:sz w:val="32"/>
          <w:szCs w:val="32"/>
        </w:rPr>
        <w:t>一般公共预算支出结构情况。</w:t>
      </w:r>
    </w:p>
    <w:p w14:paraId="70E10D19">
      <w:pPr>
        <w:pStyle w:val="5"/>
        <w:numPr>
          <w:numId w:val="0"/>
        </w:numPr>
        <w:adjustRightInd w:val="0"/>
        <w:snapToGrid w:val="0"/>
        <w:spacing w:line="560" w:lineRule="exact"/>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w:t>
      </w:r>
      <w:r>
        <w:rPr>
          <w:rFonts w:hint="eastAsia" w:ascii="TimesNewRoman" w:hAnsi="TimesNewRoman" w:eastAsia="仿宋_GB2312" w:cs="TimesNewRoman"/>
          <w:kern w:val="0"/>
          <w:sz w:val="32"/>
          <w:szCs w:val="32"/>
          <w:lang w:val="en-US" w:eastAsia="zh-CN"/>
        </w:rPr>
        <w:t>305.58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11.15</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84.33</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3.08</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12.06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0.44</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41.39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1.51</w:t>
      </w:r>
      <w:r>
        <w:rPr>
          <w:rFonts w:hint="eastAsia" w:ascii="TimesNewRoman" w:hAnsi="TimesNewRoman" w:eastAsia="仿宋_GB2312" w:cs="TimesNewRoman"/>
          <w:kern w:val="0"/>
          <w:sz w:val="32"/>
          <w:szCs w:val="32"/>
        </w:rPr>
        <w:t>%；城乡社区支出</w:t>
      </w:r>
      <w:r>
        <w:rPr>
          <w:rFonts w:hint="eastAsia" w:ascii="TimesNewRoman" w:hAnsi="TimesNewRoman" w:eastAsia="仿宋_GB2312" w:cs="TimesNewRoman"/>
          <w:kern w:val="0"/>
          <w:sz w:val="32"/>
          <w:szCs w:val="32"/>
          <w:lang w:val="en-US" w:eastAsia="zh-CN"/>
        </w:rPr>
        <w:t>2297.4万元</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占</w:t>
      </w:r>
      <w:r>
        <w:rPr>
          <w:rFonts w:hint="eastAsia" w:ascii="TimesNewRoman" w:hAnsi="TimesNewRoman" w:eastAsia="仿宋_GB2312" w:cs="TimesNewRoman"/>
          <w:kern w:val="0"/>
          <w:sz w:val="32"/>
          <w:szCs w:val="32"/>
          <w:lang w:val="en-US" w:eastAsia="zh-CN"/>
        </w:rPr>
        <w:t>83.82</w:t>
      </w:r>
      <w:r>
        <w:rPr>
          <w:rFonts w:hint="eastAsia" w:ascii="TimesNewRoman" w:hAnsi="TimesNewRoman" w:eastAsia="仿宋_GB2312" w:cs="TimesNewRoman"/>
          <w:kern w:val="0"/>
          <w:sz w:val="32"/>
          <w:szCs w:val="32"/>
        </w:rPr>
        <w:t>%。</w:t>
      </w:r>
    </w:p>
    <w:p w14:paraId="458E2EC2">
      <w:pPr>
        <w:pStyle w:val="5"/>
        <w:numPr>
          <w:numId w:val="0"/>
        </w:numPr>
        <w:adjustRightInd w:val="0"/>
        <w:snapToGrid w:val="0"/>
        <w:spacing w:line="560" w:lineRule="exact"/>
        <w:ind w:firstLine="643" w:firstLineChars="200"/>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5C8C6C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1、一般公共服务</w:t>
      </w:r>
      <w:r>
        <w:rPr>
          <w:rFonts w:hint="eastAsia" w:ascii="TimesNewRoman" w:hAnsi="TimesNewRoman" w:eastAsia="仿宋_GB2312" w:cs="TimesNewRoman"/>
          <w:kern w:val="0"/>
          <w:sz w:val="32"/>
          <w:szCs w:val="32"/>
          <w:lang w:eastAsia="zh-CN"/>
        </w:rPr>
        <w:t>支出</w:t>
      </w:r>
      <w:r>
        <w:rPr>
          <w:rFonts w:hint="eastAsia" w:ascii="TimesNewRoman" w:hAnsi="TimesNewRoman" w:eastAsia="仿宋_GB2312" w:cs="TimesNewRoman"/>
          <w:kern w:val="0"/>
          <w:sz w:val="32"/>
          <w:szCs w:val="32"/>
        </w:rPr>
        <w:t>（类）政府办公厅及相关机构事务（款）</w:t>
      </w:r>
      <w:r>
        <w:rPr>
          <w:rFonts w:hint="eastAsia" w:ascii="TimesNewRoman" w:hAnsi="TimesNewRoman" w:eastAsia="仿宋_GB2312" w:cs="TimesNewRoman"/>
          <w:kern w:val="0"/>
          <w:sz w:val="32"/>
          <w:szCs w:val="32"/>
          <w:lang w:eastAsia="zh-CN"/>
        </w:rPr>
        <w:t>行政运行</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305.58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1.04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0.34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人员变动，我中心调出</w:t>
      </w:r>
      <w:r>
        <w:rPr>
          <w:rFonts w:hint="eastAsia" w:ascii="TimesNewRoman" w:hAnsi="TimesNewRoman" w:eastAsia="仿宋_GB2312" w:cs="TimesNewRoman"/>
          <w:kern w:val="0"/>
          <w:sz w:val="32"/>
          <w:szCs w:val="32"/>
          <w:lang w:val="en-US" w:eastAsia="zh-CN"/>
        </w:rPr>
        <w:t>1名</w:t>
      </w:r>
      <w:r>
        <w:rPr>
          <w:rFonts w:hint="eastAsia" w:ascii="TimesNewRoman" w:hAnsi="TimesNewRoman" w:eastAsia="仿宋_GB2312" w:cs="TimesNewRoman"/>
          <w:kern w:val="0"/>
          <w:sz w:val="32"/>
          <w:szCs w:val="32"/>
          <w:lang w:eastAsia="zh-CN"/>
        </w:rPr>
        <w:t>职工</w:t>
      </w:r>
      <w:r>
        <w:rPr>
          <w:rFonts w:hint="eastAsia" w:ascii="TimesNewRoman" w:hAnsi="TimesNewRoman" w:eastAsia="仿宋_GB2312" w:cs="TimesNewRoman"/>
          <w:kern w:val="0"/>
          <w:sz w:val="32"/>
          <w:szCs w:val="32"/>
        </w:rPr>
        <w:t>。</w:t>
      </w:r>
    </w:p>
    <w:p w14:paraId="34512B2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2、社会保障和就业支出（类）</w:t>
      </w:r>
      <w:r>
        <w:rPr>
          <w:rFonts w:hint="eastAsia" w:ascii="TimesNewRoman" w:hAnsi="TimesNewRoman" w:eastAsia="仿宋_GB2312" w:cs="TimesNewRoman"/>
          <w:kern w:val="0"/>
          <w:sz w:val="32"/>
          <w:szCs w:val="32"/>
          <w:lang w:eastAsia="zh-CN"/>
        </w:rPr>
        <w:t>行政事业单位养老支出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行政单位离退休</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5.34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0.57</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11.95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发放退休人员提租补贴</w:t>
      </w:r>
      <w:r>
        <w:rPr>
          <w:rFonts w:hint="eastAsia" w:ascii="TimesNewRoman" w:hAnsi="TimesNewRoman" w:eastAsia="仿宋_GB2312" w:cs="TimesNewRoman"/>
          <w:kern w:val="0"/>
          <w:sz w:val="32"/>
          <w:szCs w:val="32"/>
        </w:rPr>
        <w:t>。</w:t>
      </w:r>
    </w:p>
    <w:p w14:paraId="4874978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3、社会保障和就业支出（类）行政事业单位养老支出（款）机关事业单位基本养老保险缴费支出（项）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18.28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1.18</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6.9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养老保险基数增加</w:t>
      </w:r>
      <w:r>
        <w:rPr>
          <w:rFonts w:hint="eastAsia" w:ascii="TimesNewRoman" w:hAnsi="TimesNewRoman" w:eastAsia="仿宋_GB2312" w:cs="TimesNewRoman"/>
          <w:kern w:val="0"/>
          <w:sz w:val="32"/>
          <w:szCs w:val="32"/>
        </w:rPr>
        <w:t>。</w:t>
      </w:r>
    </w:p>
    <w:p w14:paraId="3DBC0FF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4、社会保障和就业支出（类）行政事业单位养老支出（款）机关事业单位职业年金缴费支出（项）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9.14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0.59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6.9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工资增长，基数增加</w:t>
      </w:r>
      <w:r>
        <w:rPr>
          <w:rFonts w:hint="eastAsia" w:ascii="TimesNewRoman" w:hAnsi="TimesNewRoman" w:eastAsia="仿宋_GB2312" w:cs="TimesNewRoman"/>
          <w:kern w:val="0"/>
          <w:sz w:val="32"/>
          <w:szCs w:val="32"/>
        </w:rPr>
        <w:t>。</w:t>
      </w:r>
    </w:p>
    <w:p w14:paraId="119CC3C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、社会保障和就业支出（类）其他社会保障和就业支出（款）其他社会保障和就业支出（项）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51.57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5.61</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9.8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上年度补职工社保，本年度正常缴纳</w:t>
      </w:r>
      <w:r>
        <w:rPr>
          <w:rFonts w:hint="eastAsia" w:ascii="TimesNewRoman" w:hAnsi="TimesNewRoman" w:eastAsia="仿宋_GB2312" w:cs="TimesNewRoman"/>
          <w:kern w:val="0"/>
          <w:sz w:val="32"/>
          <w:szCs w:val="32"/>
        </w:rPr>
        <w:t>。</w:t>
      </w:r>
    </w:p>
    <w:p w14:paraId="13E5375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、卫生健康支出（类）行政事业单位医疗（款）行政单位医疗（项）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8.22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0.53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6.9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工资增长，基数增加</w:t>
      </w:r>
      <w:r>
        <w:rPr>
          <w:rFonts w:hint="eastAsia" w:ascii="TimesNewRoman" w:hAnsi="TimesNewRoman" w:eastAsia="仿宋_GB2312" w:cs="TimesNewRoman"/>
          <w:kern w:val="0"/>
          <w:sz w:val="32"/>
          <w:szCs w:val="32"/>
        </w:rPr>
        <w:t>。</w:t>
      </w:r>
    </w:p>
    <w:p w14:paraId="495C5C6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、卫生健康支出（类）行政事业单位医疗（款）公务员医疗补助（项）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3.84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0.22</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6.1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工资增长，基数增加</w:t>
      </w:r>
      <w:r>
        <w:rPr>
          <w:rFonts w:hint="eastAsia" w:ascii="TimesNewRoman" w:hAnsi="TimesNewRoman" w:eastAsia="仿宋_GB2312" w:cs="TimesNewRoman"/>
          <w:kern w:val="0"/>
          <w:sz w:val="32"/>
          <w:szCs w:val="32"/>
        </w:rPr>
        <w:t>。</w:t>
      </w:r>
    </w:p>
    <w:p w14:paraId="4957BF1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、城乡社区支出（类）城乡社区公共设施（款）其他城乡社区公共设施支出（项）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2297.4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1017.15</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30.69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上年度有未支出资金结转，本年度无结转</w:t>
      </w:r>
      <w:r>
        <w:rPr>
          <w:rFonts w:hint="eastAsia" w:ascii="TimesNewRoman" w:hAnsi="TimesNewRoman" w:eastAsia="仿宋_GB2312" w:cs="TimesNewRoman"/>
          <w:kern w:val="0"/>
          <w:sz w:val="32"/>
          <w:szCs w:val="32"/>
        </w:rPr>
        <w:t>。</w:t>
      </w:r>
    </w:p>
    <w:p w14:paraId="789A68B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、住房保障支出（类）住房改革支出（款）住房公积金（项）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35.18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2.25</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6.8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工资增长，基数增加</w:t>
      </w:r>
      <w:r>
        <w:rPr>
          <w:rFonts w:hint="eastAsia" w:ascii="TimesNewRoman" w:hAnsi="TimesNewRoman" w:eastAsia="仿宋_GB2312" w:cs="TimesNewRoman"/>
          <w:kern w:val="0"/>
          <w:sz w:val="32"/>
          <w:szCs w:val="32"/>
        </w:rPr>
        <w:t>。</w:t>
      </w:r>
    </w:p>
    <w:p w14:paraId="33A1D9C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、住房保障支出（类）住房改革支出（款）</w:t>
      </w:r>
      <w:r>
        <w:rPr>
          <w:rFonts w:hint="eastAsia" w:ascii="TimesNewRoman" w:hAnsi="TimesNewRoman" w:eastAsia="仿宋_GB2312" w:cs="TimesNewRoman"/>
          <w:kern w:val="0"/>
          <w:sz w:val="32"/>
          <w:szCs w:val="32"/>
          <w:lang w:eastAsia="zh-CN"/>
        </w:rPr>
        <w:t>提租补贴</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lang w:val="en-US" w:eastAsia="zh-CN"/>
        </w:rPr>
        <w:t>6.21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6.21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本年度发放提租补贴</w:t>
      </w:r>
      <w:r>
        <w:rPr>
          <w:rFonts w:hint="eastAsia" w:ascii="TimesNewRoman" w:hAnsi="TimesNewRoman" w:eastAsia="仿宋_GB2312" w:cs="TimesNewRoman"/>
          <w:kern w:val="0"/>
          <w:sz w:val="32"/>
          <w:szCs w:val="32"/>
        </w:rPr>
        <w:t>。</w:t>
      </w:r>
    </w:p>
    <w:p w14:paraId="5DCE95EB">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443.36</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417.08</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26.28</w:t>
      </w:r>
      <w:r>
        <w:rPr>
          <w:rFonts w:hint="eastAsia" w:ascii="TimesNewRoman" w:hAnsi="TimesNewRoman" w:eastAsia="仿宋_GB2312" w:cs="TimesNewRoman"/>
          <w:kern w:val="0"/>
          <w:sz w:val="32"/>
          <w:szCs w:val="32"/>
        </w:rPr>
        <w:t>万元。</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417.08</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机关事业单位基本养老保险费、职业年金缴费、职工基本医疗保险缴费、公务员医疗补助缴费、其他社会保障缴费、工会经费、福利费、住房公积金、其他工资福利支出、退休费、医疗费补助、对其他个人和家庭的补助支出。</w:t>
      </w:r>
    </w:p>
    <w:p w14:paraId="1720C040">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26.28</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主要包括：办公费、培训费、其他交通费用、其他商品服务支出</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rPr>
        <w:t>其他对个人和家庭的补助支出。</w:t>
      </w:r>
    </w:p>
    <w:p w14:paraId="50AB700A">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1D97EAF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年没有政府性基金预算拨款收入，也没有使用政府性基金预算拨款安排的支出。</w:t>
      </w:r>
    </w:p>
    <w:p w14:paraId="4F4C7F81">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ED706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799E378E">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1DDA409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年预算共安排项目支出</w:t>
      </w:r>
      <w:r>
        <w:rPr>
          <w:rFonts w:hint="eastAsia" w:ascii="TimesNewRoman" w:hAnsi="TimesNewRoman" w:eastAsia="仿宋_GB2312" w:cs="TimesNewRoman"/>
          <w:kern w:val="0"/>
          <w:sz w:val="32"/>
          <w:szCs w:val="32"/>
          <w:lang w:val="en-US" w:eastAsia="zh-CN"/>
        </w:rPr>
        <w:t>2297.4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50.92</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2.17</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严格落实厉行节约、精打细算的工作要求，压减非刚性、非必要开支</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2297.4</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2297.4</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213E741B">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384A899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年预算安排政府采购支出</w:t>
      </w:r>
      <w:r>
        <w:rPr>
          <w:rFonts w:hint="eastAsia" w:ascii="TimesNewRoman" w:hAnsi="TimesNewRoman" w:eastAsia="仿宋_GB2312" w:cs="TimesNewRoman"/>
          <w:kern w:val="0"/>
          <w:sz w:val="32"/>
          <w:szCs w:val="32"/>
          <w:lang w:val="en-US" w:eastAsia="zh-CN"/>
        </w:rPr>
        <w:t>70</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70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车辆维修和保养服务与车辆加油、添加燃料服务纳入框架协议进行政府采购</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70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1F1694B5">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26777B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年没有安排政府购买服务支出。</w:t>
      </w:r>
    </w:p>
    <w:p w14:paraId="00038706">
      <w:pPr>
        <w:pStyle w:val="5"/>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7A14A79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0366478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1、“公车平台运行经费”项目。</w:t>
      </w:r>
    </w:p>
    <w:p w14:paraId="396C2CE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default" w:ascii="TimesNewRoman" w:hAnsi="TimesNewRoman" w:eastAsia="仿宋_GB2312" w:cs="TimesNewRoman"/>
          <w:kern w:val="0"/>
          <w:sz w:val="32"/>
          <w:szCs w:val="32"/>
          <w:lang w:val="en-US" w:eastAsia="zh-CN"/>
        </w:rPr>
        <w:t>围绕建设节约型、廉洁型机关的要求，建立公务用车管理平台，合理配置公务用车资源，对机关公务用车实行集中管理、统一调度、统一结算，坚持社会化和市场化方向，达到降低公务交通成本，提高行政工作效率的目的。</w:t>
      </w:r>
    </w:p>
    <w:p w14:paraId="55401DE0">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（2）立项依据。</w:t>
      </w:r>
      <w:r>
        <w:rPr>
          <w:rFonts w:hint="default" w:ascii="TimesNewRoman" w:hAnsi="TimesNewRoman" w:eastAsia="仿宋_GB2312" w:cs="TimesNewRoman"/>
          <w:kern w:val="0"/>
          <w:sz w:val="32"/>
          <w:szCs w:val="32"/>
          <w:lang w:val="en-US" w:eastAsia="zh-CN"/>
        </w:rPr>
        <w:t>《淮北市公务用车制度改革实施方案》、《淮北市公务用车制度改革实施方案》</w:t>
      </w:r>
    </w:p>
    <w:p w14:paraId="66FC9DD0">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淮北市烈山区机关事务管理中心公车平台。</w:t>
      </w:r>
    </w:p>
    <w:p w14:paraId="1E289508">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2026年1月至2026年12月</w:t>
      </w:r>
    </w:p>
    <w:p w14:paraId="16F13586">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（5）项目内容。</w:t>
      </w:r>
      <w:r>
        <w:rPr>
          <w:rFonts w:hint="default" w:ascii="TimesNewRoman" w:hAnsi="TimesNewRoman" w:eastAsia="仿宋_GB2312" w:cs="TimesNewRoman"/>
          <w:kern w:val="0"/>
          <w:sz w:val="32"/>
          <w:szCs w:val="32"/>
          <w:lang w:val="en-US" w:eastAsia="zh-CN"/>
        </w:rPr>
        <w:t>认真贯彻落实中央和我省有关公务用车制度改革的指导思想、原则和方针，合理有效配置公务用车资源，创新公务交通分类提供方式，实现全区公务用车运行等费用大幅度降低和节制率的目标，建立符合烈山区实际的新型公务用车制度，确保我区各级党政机关工作高效有序运转。预算与绩效目标、项目内容相匹配，预算安排与预期效益对比分析，投入产出比合理，能以最低的成本，最大限度达到预期工作目标，实现预期项目效益。</w:t>
      </w:r>
    </w:p>
    <w:p w14:paraId="13989BF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default" w:ascii="TimesNewRoman" w:hAnsi="TimesNewRoman" w:eastAsia="仿宋_GB2312" w:cs="TimesNewRoman"/>
          <w:kern w:val="0"/>
          <w:sz w:val="32"/>
          <w:szCs w:val="32"/>
          <w:lang w:val="en-US" w:eastAsia="zh-CN"/>
        </w:rPr>
        <w:t>本年度本级预算安排金额</w:t>
      </w:r>
      <w:r>
        <w:rPr>
          <w:rFonts w:hint="eastAsia" w:ascii="TimesNewRoman" w:hAnsi="TimesNewRoman" w:eastAsia="仿宋_GB2312" w:cs="TimesNewRoman"/>
          <w:kern w:val="0"/>
          <w:sz w:val="32"/>
          <w:szCs w:val="32"/>
          <w:lang w:val="en-US" w:eastAsia="zh-CN"/>
        </w:rPr>
        <w:t>282</w:t>
      </w:r>
      <w:r>
        <w:rPr>
          <w:rFonts w:hint="default" w:ascii="TimesNewRoman" w:hAnsi="TimesNewRoman" w:eastAsia="仿宋_GB2312" w:cs="TimesNewRoman"/>
          <w:kern w:val="0"/>
          <w:sz w:val="32"/>
          <w:szCs w:val="32"/>
          <w:lang w:val="en-US" w:eastAsia="zh-CN"/>
        </w:rPr>
        <w:t>万元。</w:t>
      </w:r>
    </w:p>
    <w:p w14:paraId="182F46C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550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5162EC1">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3156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05DE41B">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2026</w:t>
            </w:r>
            <w:r>
              <w:rPr>
                <w:rFonts w:hint="eastAsia" w:ascii="宋体" w:hAnsi="宋体" w:eastAsia="宋体" w:cs="宋体"/>
                <w:color w:val="000000"/>
                <w:kern w:val="0"/>
                <w:sz w:val="20"/>
                <w:szCs w:val="20"/>
              </w:rPr>
              <w:t xml:space="preserve">年度）                                </w:t>
            </w:r>
          </w:p>
        </w:tc>
      </w:tr>
      <w:tr w14:paraId="7860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10FF8D2">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553FE5F8">
            <w:pPr>
              <w:jc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公车平台运行经费</w:t>
            </w:r>
          </w:p>
        </w:tc>
      </w:tr>
      <w:tr w14:paraId="24FA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16975B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shd w:val="clear"/>
            <w:vAlign w:val="center"/>
          </w:tcPr>
          <w:p w14:paraId="412F9FB9">
            <w:pPr>
              <w:jc w:val="center"/>
              <w:rPr>
                <w:rFonts w:ascii="宋体" w:cs="宋体" w:hAnsiTheme="minorHAnsi" w:eastAsiaTheme="minorEastAsia"/>
                <w:kern w:val="2"/>
                <w:sz w:val="20"/>
                <w:szCs w:val="22"/>
                <w:lang w:val="en-US" w:eastAsia="zh-CN" w:bidi="ar-SA"/>
              </w:rPr>
            </w:pPr>
            <w:r>
              <w:rPr>
                <w:rFonts w:hint="eastAsia" w:ascii="宋体" w:hAnsi="宋体" w:eastAsia="宋体" w:cs="宋体"/>
                <w:i w:val="0"/>
                <w:iCs w:val="0"/>
                <w:color w:val="000000"/>
                <w:kern w:val="0"/>
                <w:sz w:val="18"/>
                <w:szCs w:val="18"/>
                <w:u w:val="none"/>
                <w:lang w:val="en-US" w:eastAsia="zh-CN" w:bidi="ar"/>
              </w:rPr>
              <w:t>[010]淮北市烈山区机关事务管理中心</w:t>
            </w:r>
          </w:p>
        </w:tc>
        <w:tc>
          <w:tcPr>
            <w:tcW w:w="1848" w:type="dxa"/>
            <w:tcBorders>
              <w:tl2br w:val="nil"/>
              <w:tr2bl w:val="nil"/>
            </w:tcBorders>
            <w:shd w:val="clear"/>
            <w:vAlign w:val="center"/>
          </w:tcPr>
          <w:p w14:paraId="094D8135">
            <w:pPr>
              <w:widowControl/>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0"/>
                <w:szCs w:val="20"/>
              </w:rPr>
              <w:t>实施单位</w:t>
            </w:r>
          </w:p>
        </w:tc>
        <w:tc>
          <w:tcPr>
            <w:tcW w:w="2380" w:type="dxa"/>
            <w:tcBorders>
              <w:tl2br w:val="nil"/>
              <w:tr2bl w:val="nil"/>
            </w:tcBorders>
            <w:shd w:val="clear"/>
            <w:vAlign w:val="center"/>
          </w:tcPr>
          <w:p w14:paraId="5AC4B8F8">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18"/>
                <w:szCs w:val="18"/>
                <w:u w:val="none"/>
                <w:lang w:val="en-US" w:eastAsia="zh-CN" w:bidi="ar"/>
              </w:rPr>
              <w:t>淮北市烈山区机关事务管理中心</w:t>
            </w:r>
          </w:p>
        </w:tc>
      </w:tr>
      <w:tr w14:paraId="4600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C606E63">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shd w:val="clear"/>
            <w:vAlign w:val="center"/>
          </w:tcPr>
          <w:p w14:paraId="2C3B381B">
            <w:pPr>
              <w:jc w:val="center"/>
              <w:rPr>
                <w:rFonts w:ascii="宋体" w:cs="宋体" w:hAnsiTheme="minorHAnsi" w:eastAsiaTheme="minorEastAsia"/>
                <w:kern w:val="2"/>
                <w:sz w:val="20"/>
                <w:szCs w:val="22"/>
                <w:lang w:val="en-US" w:eastAsia="zh-CN" w:bidi="ar-SA"/>
              </w:rPr>
            </w:pPr>
            <w:r>
              <w:rPr>
                <w:rFonts w:hint="eastAsia" w:ascii="宋体" w:cs="宋体"/>
                <w:sz w:val="20"/>
              </w:rPr>
              <w:t>本级申报项目</w:t>
            </w:r>
          </w:p>
        </w:tc>
        <w:tc>
          <w:tcPr>
            <w:tcW w:w="1848" w:type="dxa"/>
            <w:tcBorders>
              <w:tl2br w:val="nil"/>
              <w:tr2bl w:val="nil"/>
            </w:tcBorders>
            <w:shd w:val="clear"/>
            <w:vAlign w:val="center"/>
          </w:tcPr>
          <w:p w14:paraId="145A87A0">
            <w:pPr>
              <w:widowControl/>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0"/>
                <w:szCs w:val="20"/>
              </w:rPr>
              <w:t>项目期</w:t>
            </w:r>
          </w:p>
        </w:tc>
        <w:tc>
          <w:tcPr>
            <w:tcW w:w="2380" w:type="dxa"/>
            <w:tcBorders>
              <w:tl2br w:val="nil"/>
              <w:tr2bl w:val="nil"/>
            </w:tcBorders>
            <w:shd w:val="clear"/>
            <w:vAlign w:val="center"/>
          </w:tcPr>
          <w:p w14:paraId="22F83043">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1年 </w:t>
            </w:r>
          </w:p>
        </w:tc>
      </w:tr>
      <w:tr w14:paraId="7B9D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D841067">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shd w:val="clear"/>
            <w:vAlign w:val="center"/>
          </w:tcPr>
          <w:p w14:paraId="2F87E5E5">
            <w:pPr>
              <w:widowControl/>
              <w:jc w:val="left"/>
              <w:textAlignment w:val="center"/>
              <w:rPr>
                <w:rFonts w:ascii="宋体" w:cs="宋体" w:hAnsiTheme="minorHAnsi" w:eastAsiaTheme="minorEastAsia"/>
                <w:kern w:val="2"/>
                <w:sz w:val="20"/>
                <w:szCs w:val="22"/>
                <w:lang w:val="en-US" w:eastAsia="zh-CN" w:bidi="ar-SA"/>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shd w:val="clear"/>
            <w:vAlign w:val="center"/>
          </w:tcPr>
          <w:p w14:paraId="763E6FEF">
            <w:pPr>
              <w:jc w:val="center"/>
              <w:rPr>
                <w:rFonts w:hint="default" w:ascii="宋体" w:cs="宋体" w:hAnsiTheme="minorHAnsi" w:eastAsiaTheme="minorEastAsia"/>
                <w:kern w:val="2"/>
                <w:sz w:val="20"/>
                <w:szCs w:val="22"/>
                <w:lang w:val="en-US" w:eastAsia="zh-CN" w:bidi="ar-SA"/>
              </w:rPr>
            </w:pPr>
            <w:r>
              <w:rPr>
                <w:rFonts w:hint="eastAsia" w:ascii="宋体" w:cs="宋体"/>
                <w:sz w:val="20"/>
                <w:lang w:val="en-US" w:eastAsia="zh-CN"/>
              </w:rPr>
              <w:t>282</w:t>
            </w:r>
          </w:p>
        </w:tc>
      </w:tr>
      <w:tr w14:paraId="0083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3E3D7B2">
            <w:pPr>
              <w:jc w:val="center"/>
              <w:rPr>
                <w:rFonts w:ascii="宋体" w:cs="宋体"/>
                <w:sz w:val="20"/>
              </w:rPr>
            </w:pPr>
          </w:p>
        </w:tc>
        <w:tc>
          <w:tcPr>
            <w:tcW w:w="3349" w:type="dxa"/>
            <w:gridSpan w:val="2"/>
            <w:tcBorders>
              <w:tl2br w:val="nil"/>
              <w:tr2bl w:val="nil"/>
            </w:tcBorders>
            <w:shd w:val="clear"/>
            <w:vAlign w:val="center"/>
          </w:tcPr>
          <w:p w14:paraId="11135D4D">
            <w:pPr>
              <w:widowControl/>
              <w:jc w:val="left"/>
              <w:textAlignment w:val="center"/>
              <w:rPr>
                <w:rFonts w:ascii="宋体" w:cs="宋体" w:hAnsiTheme="minorHAnsi" w:eastAsiaTheme="minorEastAsia"/>
                <w:kern w:val="2"/>
                <w:sz w:val="20"/>
                <w:szCs w:val="22"/>
                <w:lang w:val="en-US" w:eastAsia="zh-CN" w:bidi="ar-SA"/>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shd w:val="clear"/>
            <w:vAlign w:val="center"/>
          </w:tcPr>
          <w:p w14:paraId="26B9FE8E">
            <w:pPr>
              <w:jc w:val="center"/>
              <w:rPr>
                <w:rFonts w:hint="default" w:ascii="宋体" w:cs="宋体" w:hAnsiTheme="minorHAnsi" w:eastAsiaTheme="minorEastAsia"/>
                <w:kern w:val="2"/>
                <w:sz w:val="20"/>
                <w:szCs w:val="22"/>
                <w:lang w:val="en-US" w:eastAsia="zh-CN" w:bidi="ar-SA"/>
              </w:rPr>
            </w:pPr>
            <w:r>
              <w:rPr>
                <w:rFonts w:hint="eastAsia" w:ascii="宋体" w:cs="宋体"/>
                <w:sz w:val="20"/>
                <w:lang w:val="en-US" w:eastAsia="zh-CN"/>
              </w:rPr>
              <w:t>282</w:t>
            </w:r>
          </w:p>
        </w:tc>
      </w:tr>
      <w:tr w14:paraId="7110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A8DB200">
            <w:pPr>
              <w:jc w:val="center"/>
              <w:rPr>
                <w:rFonts w:ascii="宋体" w:cs="宋体"/>
                <w:sz w:val="20"/>
              </w:rPr>
            </w:pPr>
          </w:p>
        </w:tc>
        <w:tc>
          <w:tcPr>
            <w:tcW w:w="3349" w:type="dxa"/>
            <w:gridSpan w:val="2"/>
            <w:tcBorders>
              <w:tl2br w:val="nil"/>
              <w:tr2bl w:val="nil"/>
            </w:tcBorders>
            <w:shd w:val="clear"/>
            <w:vAlign w:val="center"/>
          </w:tcPr>
          <w:p w14:paraId="1B67C7C9">
            <w:pPr>
              <w:widowControl/>
              <w:jc w:val="left"/>
              <w:textAlignment w:val="center"/>
              <w:rPr>
                <w:rFonts w:ascii="宋体" w:cs="宋体" w:hAnsiTheme="minorHAnsi" w:eastAsiaTheme="minorEastAsia"/>
                <w:kern w:val="2"/>
                <w:sz w:val="20"/>
                <w:szCs w:val="22"/>
                <w:lang w:val="en-US" w:eastAsia="zh-CN" w:bidi="ar-SA"/>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shd w:val="clear"/>
            <w:vAlign w:val="center"/>
          </w:tcPr>
          <w:p w14:paraId="7A91C32C">
            <w:pPr>
              <w:jc w:val="center"/>
              <w:rPr>
                <w:rFonts w:hint="eastAsia" w:ascii="宋体" w:cs="宋体" w:hAnsiTheme="minorHAnsi" w:eastAsiaTheme="minorEastAsia"/>
                <w:kern w:val="2"/>
                <w:sz w:val="20"/>
                <w:szCs w:val="22"/>
                <w:lang w:val="en-US" w:eastAsia="zh-CN" w:bidi="ar-SA"/>
              </w:rPr>
            </w:pPr>
            <w:r>
              <w:rPr>
                <w:rFonts w:hint="eastAsia" w:ascii="宋体" w:cs="宋体"/>
                <w:sz w:val="20"/>
                <w:lang w:val="en-US" w:eastAsia="zh-CN"/>
              </w:rPr>
              <w:t>0</w:t>
            </w:r>
          </w:p>
        </w:tc>
      </w:tr>
      <w:tr w14:paraId="0CFD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C5B1647">
            <w:pPr>
              <w:jc w:val="center"/>
              <w:rPr>
                <w:rFonts w:ascii="宋体" w:cs="宋体"/>
                <w:sz w:val="20"/>
              </w:rPr>
            </w:pPr>
          </w:p>
        </w:tc>
        <w:tc>
          <w:tcPr>
            <w:tcW w:w="3349" w:type="dxa"/>
            <w:gridSpan w:val="2"/>
            <w:tcBorders>
              <w:tl2br w:val="nil"/>
              <w:tr2bl w:val="nil"/>
            </w:tcBorders>
            <w:shd w:val="clear"/>
            <w:vAlign w:val="center"/>
          </w:tcPr>
          <w:p w14:paraId="48F2AA86">
            <w:pPr>
              <w:widowControl/>
              <w:jc w:val="left"/>
              <w:textAlignment w:val="center"/>
              <w:rPr>
                <w:rFonts w:ascii="宋体" w:cs="宋体" w:hAnsiTheme="minorHAnsi" w:eastAsiaTheme="minorEastAsia"/>
                <w:kern w:val="2"/>
                <w:sz w:val="20"/>
                <w:szCs w:val="22"/>
                <w:lang w:val="en-US" w:eastAsia="zh-CN" w:bidi="ar-SA"/>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shd w:val="clear"/>
            <w:vAlign w:val="center"/>
          </w:tcPr>
          <w:p w14:paraId="790BBA2D">
            <w:pPr>
              <w:jc w:val="center"/>
              <w:rPr>
                <w:rFonts w:hint="eastAsia" w:ascii="宋体" w:cs="宋体" w:hAnsiTheme="minorHAnsi" w:eastAsiaTheme="minorEastAsia"/>
                <w:kern w:val="2"/>
                <w:sz w:val="20"/>
                <w:szCs w:val="22"/>
                <w:lang w:val="en-US" w:eastAsia="zh-CN" w:bidi="ar-SA"/>
              </w:rPr>
            </w:pPr>
            <w:r>
              <w:rPr>
                <w:rFonts w:hint="eastAsia" w:ascii="宋体" w:cs="宋体"/>
                <w:sz w:val="20"/>
                <w:lang w:val="en-US" w:eastAsia="zh-CN"/>
              </w:rPr>
              <w:t>0</w:t>
            </w:r>
          </w:p>
        </w:tc>
      </w:tr>
      <w:tr w14:paraId="7760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780344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1D75A32">
            <w:pPr>
              <w:jc w:val="left"/>
              <w:rPr>
                <w:rFonts w:ascii="宋体" w:cs="宋体"/>
                <w:sz w:val="20"/>
              </w:rPr>
            </w:pPr>
            <w:r>
              <w:rPr>
                <w:rFonts w:hint="eastAsia" w:ascii="宋体" w:cs="宋体"/>
                <w:sz w:val="20"/>
              </w:rPr>
              <w:t>1.规范公务用车运行管理，有效降低行政成本。极组建公务用车平台，建立健全长效工作机制，最终实现降低行政成本，合理配置公务用车资源，创新公务交通分类提供方式。形成符合中央改革精神和地方实际的新型公务用车制度2.一是巩固车改工作成果，借鉴先进经验以完善平台车辆的用车管理制度，进一步精细公车使用管理；二继续使用车载终端系统，完善公车管理平台规范化建设；三是抓好司勤人员的培训教育，做到文明驾驶，安全行车。</w:t>
            </w:r>
          </w:p>
        </w:tc>
      </w:tr>
      <w:tr w14:paraId="7982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0F7C910">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383F471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6297B5D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8FD74F2">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C8EC1C7">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715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8" w:type="dxa"/>
            <w:vMerge w:val="continue"/>
            <w:tcBorders>
              <w:tl2br w:val="nil"/>
              <w:tr2bl w:val="nil"/>
            </w:tcBorders>
            <w:vAlign w:val="center"/>
          </w:tcPr>
          <w:p w14:paraId="0A9B8CE7">
            <w:pPr>
              <w:jc w:val="center"/>
              <w:rPr>
                <w:rFonts w:ascii="宋体" w:cs="宋体"/>
                <w:sz w:val="20"/>
              </w:rPr>
            </w:pPr>
          </w:p>
        </w:tc>
        <w:tc>
          <w:tcPr>
            <w:tcW w:w="723" w:type="dxa"/>
            <w:vMerge w:val="restart"/>
            <w:tcBorders>
              <w:tl2br w:val="nil"/>
              <w:tr2bl w:val="nil"/>
            </w:tcBorders>
            <w:vAlign w:val="center"/>
          </w:tcPr>
          <w:p w14:paraId="73C19B4E">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27214F8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0A698CEE">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保障车辆数</w:t>
            </w:r>
          </w:p>
        </w:tc>
        <w:tc>
          <w:tcPr>
            <w:tcW w:w="4228" w:type="dxa"/>
            <w:gridSpan w:val="2"/>
            <w:tcBorders>
              <w:tl2br w:val="nil"/>
              <w:tr2bl w:val="nil"/>
            </w:tcBorders>
            <w:vAlign w:val="center"/>
          </w:tcPr>
          <w:p w14:paraId="46F865A0">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≤37辆</w:t>
            </w:r>
          </w:p>
        </w:tc>
      </w:tr>
      <w:tr w14:paraId="6185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38" w:type="dxa"/>
            <w:vMerge w:val="continue"/>
            <w:tcBorders>
              <w:tl2br w:val="nil"/>
              <w:tr2bl w:val="nil"/>
            </w:tcBorders>
            <w:vAlign w:val="center"/>
          </w:tcPr>
          <w:p w14:paraId="2A1D0F7D">
            <w:pPr>
              <w:jc w:val="center"/>
              <w:rPr>
                <w:rFonts w:ascii="宋体" w:cs="宋体"/>
                <w:sz w:val="20"/>
              </w:rPr>
            </w:pPr>
          </w:p>
        </w:tc>
        <w:tc>
          <w:tcPr>
            <w:tcW w:w="723" w:type="dxa"/>
            <w:vMerge w:val="continue"/>
            <w:tcBorders>
              <w:tl2br w:val="nil"/>
              <w:tr2bl w:val="nil"/>
            </w:tcBorders>
            <w:vAlign w:val="center"/>
          </w:tcPr>
          <w:p w14:paraId="5E06A885">
            <w:pPr>
              <w:jc w:val="center"/>
              <w:rPr>
                <w:rFonts w:ascii="宋体" w:cs="宋体"/>
                <w:sz w:val="20"/>
              </w:rPr>
            </w:pPr>
          </w:p>
        </w:tc>
        <w:tc>
          <w:tcPr>
            <w:tcW w:w="759" w:type="dxa"/>
            <w:gridSpan w:val="2"/>
            <w:tcBorders>
              <w:tl2br w:val="nil"/>
              <w:tr2bl w:val="nil"/>
            </w:tcBorders>
            <w:vAlign w:val="center"/>
          </w:tcPr>
          <w:p w14:paraId="3494658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280771BC">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保障公车出行</w:t>
            </w:r>
          </w:p>
        </w:tc>
        <w:tc>
          <w:tcPr>
            <w:tcW w:w="4228" w:type="dxa"/>
            <w:gridSpan w:val="2"/>
            <w:tcBorders>
              <w:tl2br w:val="nil"/>
              <w:tr2bl w:val="nil"/>
            </w:tcBorders>
            <w:vAlign w:val="center"/>
          </w:tcPr>
          <w:p w14:paraId="61354B80">
            <w:pPr>
              <w:jc w:val="center"/>
              <w:rPr>
                <w:rFonts w:ascii="宋体" w:cs="宋体"/>
                <w:sz w:val="20"/>
              </w:rPr>
            </w:pPr>
            <w:r>
              <w:rPr>
                <w:rFonts w:hint="eastAsia" w:ascii="宋体" w:cs="宋体"/>
                <w:sz w:val="20"/>
                <w:lang w:eastAsia="zh-CN"/>
              </w:rPr>
              <w:t>优</w:t>
            </w:r>
          </w:p>
        </w:tc>
      </w:tr>
      <w:tr w14:paraId="6D59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8" w:type="dxa"/>
            <w:vMerge w:val="continue"/>
            <w:tcBorders>
              <w:tl2br w:val="nil"/>
              <w:tr2bl w:val="nil"/>
            </w:tcBorders>
            <w:vAlign w:val="center"/>
          </w:tcPr>
          <w:p w14:paraId="48EA591D">
            <w:pPr>
              <w:jc w:val="center"/>
              <w:rPr>
                <w:rFonts w:ascii="宋体" w:cs="宋体"/>
                <w:sz w:val="20"/>
              </w:rPr>
            </w:pPr>
          </w:p>
        </w:tc>
        <w:tc>
          <w:tcPr>
            <w:tcW w:w="723" w:type="dxa"/>
            <w:vMerge w:val="continue"/>
            <w:tcBorders>
              <w:tl2br w:val="nil"/>
              <w:tr2bl w:val="nil"/>
            </w:tcBorders>
            <w:vAlign w:val="center"/>
          </w:tcPr>
          <w:p w14:paraId="3DAD3AFB">
            <w:pPr>
              <w:jc w:val="center"/>
              <w:rPr>
                <w:rFonts w:ascii="宋体" w:cs="宋体"/>
                <w:sz w:val="20"/>
              </w:rPr>
            </w:pPr>
          </w:p>
        </w:tc>
        <w:tc>
          <w:tcPr>
            <w:tcW w:w="759" w:type="dxa"/>
            <w:gridSpan w:val="2"/>
            <w:tcBorders>
              <w:tl2br w:val="nil"/>
              <w:tr2bl w:val="nil"/>
            </w:tcBorders>
            <w:vAlign w:val="center"/>
          </w:tcPr>
          <w:p w14:paraId="00B9927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5F9C750F">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项目完成及时</w:t>
            </w:r>
          </w:p>
        </w:tc>
        <w:tc>
          <w:tcPr>
            <w:tcW w:w="4228" w:type="dxa"/>
            <w:gridSpan w:val="2"/>
            <w:tcBorders>
              <w:tl2br w:val="nil"/>
              <w:tr2bl w:val="nil"/>
            </w:tcBorders>
            <w:vAlign w:val="center"/>
          </w:tcPr>
          <w:p w14:paraId="0C8B5B3B">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按时完成</w:t>
            </w:r>
          </w:p>
        </w:tc>
      </w:tr>
      <w:tr w14:paraId="379F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38" w:type="dxa"/>
            <w:vMerge w:val="continue"/>
            <w:tcBorders>
              <w:tl2br w:val="nil"/>
              <w:tr2bl w:val="nil"/>
            </w:tcBorders>
            <w:vAlign w:val="center"/>
          </w:tcPr>
          <w:p w14:paraId="3D17F6A0">
            <w:pPr>
              <w:jc w:val="center"/>
              <w:rPr>
                <w:rFonts w:ascii="宋体" w:cs="宋体"/>
                <w:sz w:val="20"/>
              </w:rPr>
            </w:pPr>
          </w:p>
        </w:tc>
        <w:tc>
          <w:tcPr>
            <w:tcW w:w="723" w:type="dxa"/>
            <w:vMerge w:val="continue"/>
            <w:tcBorders>
              <w:tl2br w:val="nil"/>
              <w:tr2bl w:val="nil"/>
            </w:tcBorders>
            <w:vAlign w:val="center"/>
          </w:tcPr>
          <w:p w14:paraId="7434D0A9">
            <w:pPr>
              <w:jc w:val="center"/>
              <w:rPr>
                <w:rFonts w:ascii="宋体" w:cs="宋体"/>
                <w:sz w:val="20"/>
              </w:rPr>
            </w:pPr>
          </w:p>
        </w:tc>
        <w:tc>
          <w:tcPr>
            <w:tcW w:w="759" w:type="dxa"/>
            <w:gridSpan w:val="2"/>
            <w:tcBorders>
              <w:tl2br w:val="nil"/>
              <w:tr2bl w:val="nil"/>
            </w:tcBorders>
            <w:vAlign w:val="center"/>
          </w:tcPr>
          <w:p w14:paraId="6FDB49B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09A366E6">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公务用车费用总成本</w:t>
            </w:r>
          </w:p>
        </w:tc>
        <w:tc>
          <w:tcPr>
            <w:tcW w:w="4228" w:type="dxa"/>
            <w:gridSpan w:val="2"/>
            <w:tcBorders>
              <w:tl2br w:val="nil"/>
              <w:tr2bl w:val="nil"/>
            </w:tcBorders>
            <w:vAlign w:val="center"/>
          </w:tcPr>
          <w:p w14:paraId="5A77D362">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≤282万元</w:t>
            </w:r>
          </w:p>
        </w:tc>
      </w:tr>
      <w:tr w14:paraId="503C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38" w:type="dxa"/>
            <w:vMerge w:val="continue"/>
            <w:tcBorders>
              <w:tl2br w:val="nil"/>
              <w:tr2bl w:val="nil"/>
            </w:tcBorders>
            <w:vAlign w:val="center"/>
          </w:tcPr>
          <w:p w14:paraId="5A8B9761">
            <w:pPr>
              <w:jc w:val="center"/>
              <w:rPr>
                <w:rFonts w:ascii="宋体" w:cs="宋体"/>
                <w:sz w:val="20"/>
              </w:rPr>
            </w:pPr>
          </w:p>
        </w:tc>
        <w:tc>
          <w:tcPr>
            <w:tcW w:w="723" w:type="dxa"/>
            <w:vMerge w:val="restart"/>
            <w:tcBorders>
              <w:tl2br w:val="nil"/>
              <w:tr2bl w:val="nil"/>
            </w:tcBorders>
            <w:vAlign w:val="center"/>
          </w:tcPr>
          <w:p w14:paraId="17A5F0F1">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4607F86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696C34D1">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对减少财政投资成本的改善程度</w:t>
            </w:r>
          </w:p>
        </w:tc>
        <w:tc>
          <w:tcPr>
            <w:tcW w:w="4228" w:type="dxa"/>
            <w:gridSpan w:val="2"/>
            <w:tcBorders>
              <w:tl2br w:val="nil"/>
              <w:tr2bl w:val="nil"/>
            </w:tcBorders>
            <w:vAlign w:val="center"/>
          </w:tcPr>
          <w:p w14:paraId="436F4C01">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1E9F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38" w:type="dxa"/>
            <w:vMerge w:val="continue"/>
            <w:tcBorders>
              <w:tl2br w:val="nil"/>
              <w:tr2bl w:val="nil"/>
            </w:tcBorders>
            <w:vAlign w:val="center"/>
          </w:tcPr>
          <w:p w14:paraId="43D8B4A3">
            <w:pPr>
              <w:jc w:val="center"/>
              <w:rPr>
                <w:rFonts w:ascii="宋体" w:cs="宋体"/>
                <w:sz w:val="20"/>
              </w:rPr>
            </w:pPr>
          </w:p>
        </w:tc>
        <w:tc>
          <w:tcPr>
            <w:tcW w:w="723" w:type="dxa"/>
            <w:vMerge w:val="continue"/>
            <w:tcBorders>
              <w:tl2br w:val="nil"/>
              <w:tr2bl w:val="nil"/>
            </w:tcBorders>
            <w:vAlign w:val="center"/>
          </w:tcPr>
          <w:p w14:paraId="59A17C0A">
            <w:pPr>
              <w:jc w:val="center"/>
              <w:rPr>
                <w:rFonts w:ascii="宋体" w:cs="宋体"/>
                <w:sz w:val="20"/>
              </w:rPr>
            </w:pPr>
          </w:p>
        </w:tc>
        <w:tc>
          <w:tcPr>
            <w:tcW w:w="759" w:type="dxa"/>
            <w:gridSpan w:val="2"/>
            <w:tcBorders>
              <w:tl2br w:val="nil"/>
              <w:tr2bl w:val="nil"/>
            </w:tcBorders>
            <w:vAlign w:val="center"/>
          </w:tcPr>
          <w:p w14:paraId="110B061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35C253BD">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对保障各项业务工作正常开展的影响或改善程度</w:t>
            </w:r>
          </w:p>
        </w:tc>
        <w:tc>
          <w:tcPr>
            <w:tcW w:w="4228" w:type="dxa"/>
            <w:gridSpan w:val="2"/>
            <w:tcBorders>
              <w:tl2br w:val="nil"/>
              <w:tr2bl w:val="nil"/>
            </w:tcBorders>
            <w:vAlign w:val="center"/>
          </w:tcPr>
          <w:p w14:paraId="7E08C14F">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30E6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38" w:type="dxa"/>
            <w:vMerge w:val="continue"/>
            <w:tcBorders>
              <w:tl2br w:val="nil"/>
              <w:tr2bl w:val="nil"/>
            </w:tcBorders>
            <w:vAlign w:val="center"/>
          </w:tcPr>
          <w:p w14:paraId="50CCD1DE">
            <w:pPr>
              <w:jc w:val="center"/>
              <w:rPr>
                <w:rFonts w:ascii="宋体" w:cs="宋体"/>
                <w:sz w:val="20"/>
              </w:rPr>
            </w:pPr>
          </w:p>
        </w:tc>
        <w:tc>
          <w:tcPr>
            <w:tcW w:w="723" w:type="dxa"/>
            <w:vMerge w:val="continue"/>
            <w:tcBorders>
              <w:tl2br w:val="nil"/>
              <w:tr2bl w:val="nil"/>
            </w:tcBorders>
            <w:vAlign w:val="center"/>
          </w:tcPr>
          <w:p w14:paraId="2293C262">
            <w:pPr>
              <w:jc w:val="center"/>
              <w:rPr>
                <w:rFonts w:ascii="宋体" w:cs="宋体"/>
                <w:sz w:val="20"/>
              </w:rPr>
            </w:pPr>
          </w:p>
        </w:tc>
        <w:tc>
          <w:tcPr>
            <w:tcW w:w="759" w:type="dxa"/>
            <w:gridSpan w:val="2"/>
            <w:tcBorders>
              <w:tl2br w:val="nil"/>
              <w:tr2bl w:val="nil"/>
            </w:tcBorders>
            <w:vAlign w:val="center"/>
          </w:tcPr>
          <w:p w14:paraId="3F7C8BF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08F0ED93">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采用节能环保建筑材料，倡导绿色健康环保理念</w:t>
            </w:r>
          </w:p>
        </w:tc>
        <w:tc>
          <w:tcPr>
            <w:tcW w:w="4228" w:type="dxa"/>
            <w:gridSpan w:val="2"/>
            <w:tcBorders>
              <w:tl2br w:val="nil"/>
              <w:tr2bl w:val="nil"/>
            </w:tcBorders>
            <w:vAlign w:val="center"/>
          </w:tcPr>
          <w:p w14:paraId="2D3B92A1">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3C2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38" w:type="dxa"/>
            <w:vMerge w:val="continue"/>
            <w:tcBorders>
              <w:tl2br w:val="nil"/>
              <w:tr2bl w:val="nil"/>
            </w:tcBorders>
            <w:vAlign w:val="center"/>
          </w:tcPr>
          <w:p w14:paraId="1C265B4B">
            <w:pPr>
              <w:jc w:val="center"/>
              <w:rPr>
                <w:rFonts w:ascii="宋体" w:cs="宋体"/>
                <w:sz w:val="20"/>
              </w:rPr>
            </w:pPr>
          </w:p>
        </w:tc>
        <w:tc>
          <w:tcPr>
            <w:tcW w:w="723" w:type="dxa"/>
            <w:vMerge w:val="continue"/>
            <w:tcBorders>
              <w:tl2br w:val="nil"/>
              <w:tr2bl w:val="nil"/>
            </w:tcBorders>
            <w:vAlign w:val="center"/>
          </w:tcPr>
          <w:p w14:paraId="32CB5A6C">
            <w:pPr>
              <w:jc w:val="center"/>
              <w:rPr>
                <w:rFonts w:ascii="宋体" w:cs="宋体"/>
                <w:sz w:val="20"/>
              </w:rPr>
            </w:pPr>
          </w:p>
        </w:tc>
        <w:tc>
          <w:tcPr>
            <w:tcW w:w="759" w:type="dxa"/>
            <w:gridSpan w:val="2"/>
            <w:tcBorders>
              <w:tl2br w:val="nil"/>
              <w:tr2bl w:val="nil"/>
            </w:tcBorders>
            <w:vAlign w:val="center"/>
          </w:tcPr>
          <w:p w14:paraId="37B14272">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060219E9">
            <w:pPr>
              <w:widowControl/>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对保障机构持续稳定运转、持续发挥职能的改善或提升程度</w:t>
            </w:r>
          </w:p>
        </w:tc>
        <w:tc>
          <w:tcPr>
            <w:tcW w:w="4228" w:type="dxa"/>
            <w:gridSpan w:val="2"/>
            <w:tcBorders>
              <w:tl2br w:val="nil"/>
              <w:tr2bl w:val="nil"/>
            </w:tcBorders>
            <w:vAlign w:val="center"/>
          </w:tcPr>
          <w:p w14:paraId="5500A352">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2A64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38" w:type="dxa"/>
            <w:vMerge w:val="continue"/>
            <w:tcBorders>
              <w:tl2br w:val="nil"/>
              <w:tr2bl w:val="nil"/>
            </w:tcBorders>
            <w:vAlign w:val="center"/>
          </w:tcPr>
          <w:p w14:paraId="73BAE2DE">
            <w:pPr>
              <w:jc w:val="center"/>
              <w:rPr>
                <w:rFonts w:ascii="宋体" w:cs="宋体"/>
                <w:sz w:val="20"/>
              </w:rPr>
            </w:pPr>
          </w:p>
        </w:tc>
        <w:tc>
          <w:tcPr>
            <w:tcW w:w="723" w:type="dxa"/>
            <w:tcBorders>
              <w:tl2br w:val="nil"/>
              <w:tr2bl w:val="nil"/>
            </w:tcBorders>
            <w:vAlign w:val="center"/>
          </w:tcPr>
          <w:p w14:paraId="4F793103">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0AAA9AE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7CBC1503">
            <w:pPr>
              <w:widowControl/>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用车满意度</w:t>
            </w:r>
          </w:p>
        </w:tc>
        <w:tc>
          <w:tcPr>
            <w:tcW w:w="4228" w:type="dxa"/>
            <w:gridSpan w:val="2"/>
            <w:tcBorders>
              <w:tl2br w:val="nil"/>
              <w:tr2bl w:val="nil"/>
            </w:tcBorders>
            <w:vAlign w:val="center"/>
          </w:tcPr>
          <w:p w14:paraId="28A0B12E">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≥95%</w:t>
            </w:r>
          </w:p>
        </w:tc>
      </w:tr>
    </w:tbl>
    <w:p w14:paraId="2CBF996F">
      <w:pPr>
        <w:ind w:firstLine="420" w:firstLineChars="200"/>
      </w:pPr>
    </w:p>
    <w:p w14:paraId="07B8C629">
      <w:pPr>
        <w:ind w:firstLine="420" w:firstLineChars="200"/>
      </w:pPr>
    </w:p>
    <w:p w14:paraId="3FE47AA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仿宋_GB2312" w:hAnsi="宋体" w:eastAsia="仿宋_GB2312" w:cs="宋体"/>
          <w:sz w:val="32"/>
          <w:szCs w:val="32"/>
          <w:lang w:eastAsia="zh-CN"/>
        </w:rPr>
        <w:t>机关事务管理工作经费</w:t>
      </w:r>
      <w:r>
        <w:rPr>
          <w:rFonts w:hint="eastAsia" w:ascii="TimesNewRoman" w:hAnsi="TimesNewRoman" w:eastAsia="仿宋_GB2312" w:cs="TimesNewRoman"/>
          <w:kern w:val="0"/>
          <w:sz w:val="32"/>
          <w:szCs w:val="32"/>
        </w:rPr>
        <w:t>”项目。</w:t>
      </w:r>
    </w:p>
    <w:p w14:paraId="105D88B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仿宋_GB2312" w:hAnsi="仿宋_GB2312" w:eastAsia="仿宋_GB2312" w:cs="仿宋_GB2312"/>
          <w:sz w:val="32"/>
          <w:szCs w:val="32"/>
          <w:lang w:eastAsia="zh-CN"/>
        </w:rPr>
        <w:t>烈山区机关事务管理中心在区委、区政府的正确领导下，认真落实部门职能职责，认真做好事务管理等各项服务工作，确保区级行政中心机关后勤服务、安全保卫、火灾预防、交通管理、安全消防监控、办公秩序维护等工作高效有序运转。</w:t>
      </w:r>
    </w:p>
    <w:p w14:paraId="3E7C625B">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《机关事务管理条例》</w:t>
      </w:r>
    </w:p>
    <w:p w14:paraId="465B1D0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kern w:val="0"/>
          <w:sz w:val="32"/>
          <w:szCs w:val="32"/>
          <w:lang w:eastAsia="zh-CN"/>
        </w:rPr>
        <w:t>淮北市烈山区机关事务管理中心</w:t>
      </w:r>
    </w:p>
    <w:p w14:paraId="42129962">
      <w:pPr>
        <w:ind w:firstLine="640" w:firstLineChars="200"/>
        <w:rPr>
          <w:rFonts w:hint="default"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2026年1月-2026年12月</w:t>
      </w:r>
    </w:p>
    <w:p w14:paraId="725861E5">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val="en-US" w:eastAsia="zh-CN"/>
        </w:rPr>
        <w:t>烈山区机关事务管中心局围绕全区中心工作，以管理精准、服务至上、保障高效为目标，全面扎实深入做好区级机关管理、服务、保障工作，认真履行“做好协调、当好参谋、搞好服务”的职能，认真做好事务管理等各项服务工作。坚持“为政府领导服务，为机关工作服务，为机关职工服务”的宗旨，提高管理水平，确保服务质量，加大改革力度，做好后勤各项工作，逐步改善机关工作、生活、福利条件。保证区级行政中心工作高效有序运转，促进了区委、区政府各项决策部署的落实。</w:t>
      </w:r>
    </w:p>
    <w:p w14:paraId="74A6486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default" w:ascii="TimesNewRoman" w:hAnsi="TimesNewRoman" w:eastAsia="仿宋_GB2312" w:cs="TimesNewRoman"/>
          <w:kern w:val="0"/>
          <w:sz w:val="32"/>
          <w:szCs w:val="32"/>
          <w:lang w:val="en-US" w:eastAsia="zh-CN"/>
        </w:rPr>
        <w:t>本</w:t>
      </w:r>
      <w:r>
        <w:rPr>
          <w:rFonts w:hint="default" w:ascii="TimesNewRoman" w:hAnsi="TimesNewRoman" w:eastAsia="仿宋_GB2312" w:cs="TimesNewRoman"/>
          <w:kern w:val="0"/>
          <w:sz w:val="32"/>
          <w:szCs w:val="32"/>
          <w:lang w:val="en-US" w:eastAsia="zh-CN"/>
        </w:rPr>
        <w:t>年度本级预算安排金额</w:t>
      </w:r>
      <w:r>
        <w:rPr>
          <w:rFonts w:hint="eastAsia" w:ascii="TimesNewRoman" w:hAnsi="TimesNewRoman" w:eastAsia="仿宋_GB2312" w:cs="TimesNewRoman"/>
          <w:kern w:val="0"/>
          <w:sz w:val="32"/>
          <w:szCs w:val="32"/>
          <w:lang w:val="en-US" w:eastAsia="zh-CN"/>
        </w:rPr>
        <w:t>2015.4万元。</w:t>
      </w:r>
    </w:p>
    <w:p w14:paraId="3351EBBC">
      <w:pPr>
        <w:ind w:firstLine="640" w:firstLineChars="200"/>
        <w:rPr>
          <w:rFonts w:hint="eastAsia" w:ascii="仿宋_GB2312" w:hAnsi="仿宋_GB2312" w:eastAsia="仿宋_GB2312" w:cs="仿宋_GB2312"/>
          <w:color w:val="000000"/>
          <w:sz w:val="32"/>
          <w:szCs w:val="32"/>
          <w:lang w:eastAsia="zh-CN"/>
        </w:rPr>
      </w:pPr>
      <w:r>
        <w:rPr>
          <w:rFonts w:hint="eastAsia" w:ascii="TimesNewRoman" w:hAnsi="TimesNewRoman" w:eastAsia="仿宋_GB2312" w:cs="TimesNewRoman"/>
          <w:kern w:val="0"/>
          <w:sz w:val="32"/>
          <w:szCs w:val="32"/>
        </w:rPr>
        <w:t>（7）绩效目标。</w:t>
      </w:r>
      <w:r>
        <w:rPr>
          <w:rFonts w:hint="eastAsia" w:ascii="仿宋_GB2312" w:hAnsi="仿宋_GB2312" w:eastAsia="仿宋_GB2312" w:cs="仿宋_GB2312"/>
          <w:color w:val="000000"/>
          <w:sz w:val="32"/>
          <w:szCs w:val="32"/>
          <w:lang w:eastAsia="zh-CN"/>
        </w:rPr>
        <w:t>烈山区机关事务管理中心在区委、区政府的正确领导下，按照管理科学化、保障制度化、服务社会化的要求，坚持以服务为根本、以创新为动力，按照节俭、高效、廉洁的原则，狠抓机制创新、狠抓工作落实，紧紧围绕全区的中心工作，认真履行“做好协调、当好参谋、搞好服务”的职能，认真落实部门职能职责，认真做好事务管理等各项服务工作，确保区级行政中心机关后勤服务、安全保卫、火灾预防、交通管理、安全消防监控、办公秩序维护等工作高效有序运转。</w:t>
      </w:r>
    </w:p>
    <w:p w14:paraId="2C3F6729">
      <w:pPr>
        <w:ind w:firstLine="640" w:firstLineChars="200"/>
        <w:rPr>
          <w:rFonts w:ascii="TimesNewRoman" w:hAnsi="TimesNewRoman" w:eastAsia="仿宋_GB2312" w:cs="TimesNewRoman"/>
          <w:kern w:val="0"/>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0DA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F24ABBE">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0809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72DD1A7">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2026</w:t>
            </w:r>
            <w:r>
              <w:rPr>
                <w:rFonts w:hint="eastAsia" w:ascii="宋体" w:hAnsi="宋体" w:eastAsia="宋体" w:cs="宋体"/>
                <w:color w:val="000000"/>
                <w:kern w:val="0"/>
                <w:sz w:val="20"/>
                <w:szCs w:val="20"/>
              </w:rPr>
              <w:t xml:space="preserve">年度）                                </w:t>
            </w:r>
          </w:p>
        </w:tc>
      </w:tr>
      <w:tr w14:paraId="398B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9D30621">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6297856C">
            <w:pPr>
              <w:jc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机关事务管理工作运行经费</w:t>
            </w:r>
          </w:p>
        </w:tc>
      </w:tr>
      <w:tr w14:paraId="71D4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6B0C95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shd w:val="clear" w:color="auto" w:fill="auto"/>
            <w:vAlign w:val="center"/>
          </w:tcPr>
          <w:p w14:paraId="35DFA31E">
            <w:pPr>
              <w:jc w:val="center"/>
              <w:rPr>
                <w:rFonts w:ascii="宋体" w:cs="宋体" w:hAnsiTheme="minorHAnsi" w:eastAsiaTheme="minorEastAsia"/>
                <w:kern w:val="2"/>
                <w:sz w:val="20"/>
                <w:szCs w:val="22"/>
                <w:lang w:val="en-US" w:eastAsia="zh-CN" w:bidi="ar-SA"/>
              </w:rPr>
            </w:pPr>
            <w:r>
              <w:rPr>
                <w:rFonts w:hint="eastAsia" w:ascii="宋体" w:hAnsi="宋体" w:eastAsia="宋体" w:cs="宋体"/>
                <w:i w:val="0"/>
                <w:iCs w:val="0"/>
                <w:color w:val="000000"/>
                <w:kern w:val="0"/>
                <w:sz w:val="18"/>
                <w:szCs w:val="18"/>
                <w:u w:val="none"/>
                <w:lang w:val="en-US" w:eastAsia="zh-CN" w:bidi="ar"/>
              </w:rPr>
              <w:t>[010]淮北市烈山区机关事务管理中心</w:t>
            </w:r>
          </w:p>
        </w:tc>
        <w:tc>
          <w:tcPr>
            <w:tcW w:w="1848" w:type="dxa"/>
            <w:tcBorders>
              <w:tl2br w:val="nil"/>
              <w:tr2bl w:val="nil"/>
            </w:tcBorders>
            <w:shd w:val="clear" w:color="auto" w:fill="auto"/>
            <w:vAlign w:val="center"/>
          </w:tcPr>
          <w:p w14:paraId="439498E6">
            <w:pPr>
              <w:widowControl/>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0"/>
                <w:szCs w:val="20"/>
              </w:rPr>
              <w:t>实施单位</w:t>
            </w:r>
          </w:p>
        </w:tc>
        <w:tc>
          <w:tcPr>
            <w:tcW w:w="2380" w:type="dxa"/>
            <w:tcBorders>
              <w:tl2br w:val="nil"/>
              <w:tr2bl w:val="nil"/>
            </w:tcBorders>
            <w:shd w:val="clear" w:color="auto" w:fill="auto"/>
            <w:vAlign w:val="center"/>
          </w:tcPr>
          <w:p w14:paraId="30D5E1D7">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18"/>
                <w:szCs w:val="18"/>
                <w:u w:val="none"/>
                <w:lang w:val="en-US" w:eastAsia="zh-CN" w:bidi="ar"/>
              </w:rPr>
              <w:t>淮北市烈山区机关事务管理中心</w:t>
            </w:r>
          </w:p>
        </w:tc>
      </w:tr>
      <w:tr w14:paraId="649E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FC8EB93">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shd w:val="clear" w:color="auto" w:fill="auto"/>
            <w:vAlign w:val="center"/>
          </w:tcPr>
          <w:p w14:paraId="28E77DD2">
            <w:pPr>
              <w:jc w:val="center"/>
              <w:rPr>
                <w:rFonts w:ascii="宋体" w:cs="宋体" w:hAnsiTheme="minorHAnsi" w:eastAsiaTheme="minorEastAsia"/>
                <w:kern w:val="2"/>
                <w:sz w:val="20"/>
                <w:szCs w:val="22"/>
                <w:lang w:val="en-US" w:eastAsia="zh-CN" w:bidi="ar-SA"/>
              </w:rPr>
            </w:pPr>
            <w:r>
              <w:rPr>
                <w:rFonts w:hint="eastAsia" w:ascii="宋体" w:cs="宋体"/>
                <w:sz w:val="20"/>
              </w:rPr>
              <w:t>本级申报项目</w:t>
            </w:r>
          </w:p>
        </w:tc>
        <w:tc>
          <w:tcPr>
            <w:tcW w:w="1848" w:type="dxa"/>
            <w:tcBorders>
              <w:tl2br w:val="nil"/>
              <w:tr2bl w:val="nil"/>
            </w:tcBorders>
            <w:shd w:val="clear" w:color="auto" w:fill="auto"/>
            <w:vAlign w:val="center"/>
          </w:tcPr>
          <w:p w14:paraId="223A1A4A">
            <w:pPr>
              <w:widowControl/>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0"/>
                <w:szCs w:val="20"/>
              </w:rPr>
              <w:t>项目期</w:t>
            </w:r>
          </w:p>
        </w:tc>
        <w:tc>
          <w:tcPr>
            <w:tcW w:w="2380" w:type="dxa"/>
            <w:tcBorders>
              <w:tl2br w:val="nil"/>
              <w:tr2bl w:val="nil"/>
            </w:tcBorders>
            <w:shd w:val="clear" w:color="auto" w:fill="auto"/>
            <w:vAlign w:val="center"/>
          </w:tcPr>
          <w:p w14:paraId="3CC776EB">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1年 </w:t>
            </w:r>
          </w:p>
        </w:tc>
      </w:tr>
      <w:tr w14:paraId="59D0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CCD41DC">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shd w:val="clear" w:color="auto" w:fill="auto"/>
            <w:vAlign w:val="center"/>
          </w:tcPr>
          <w:p w14:paraId="19A59B9C">
            <w:pPr>
              <w:widowControl/>
              <w:jc w:val="left"/>
              <w:textAlignment w:val="center"/>
              <w:rPr>
                <w:rFonts w:ascii="宋体" w:cs="宋体" w:hAnsiTheme="minorHAnsi" w:eastAsiaTheme="minorEastAsia"/>
                <w:kern w:val="2"/>
                <w:sz w:val="20"/>
                <w:szCs w:val="22"/>
                <w:lang w:val="en-US" w:eastAsia="zh-CN" w:bidi="ar-SA"/>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shd w:val="clear" w:color="auto" w:fill="auto"/>
            <w:vAlign w:val="center"/>
          </w:tcPr>
          <w:p w14:paraId="2CA43993">
            <w:pPr>
              <w:jc w:val="center"/>
              <w:rPr>
                <w:rFonts w:hint="default" w:ascii="宋体" w:cs="宋体" w:hAnsiTheme="minorHAnsi" w:eastAsiaTheme="minorEastAsia"/>
                <w:kern w:val="2"/>
                <w:sz w:val="20"/>
                <w:szCs w:val="22"/>
                <w:lang w:val="en-US" w:eastAsia="zh-CN" w:bidi="ar-SA"/>
              </w:rPr>
            </w:pPr>
            <w:r>
              <w:rPr>
                <w:rFonts w:hint="eastAsia" w:ascii="宋体" w:cs="宋体"/>
                <w:sz w:val="20"/>
                <w:lang w:val="en-US" w:eastAsia="zh-CN"/>
              </w:rPr>
              <w:t>2015.4</w:t>
            </w:r>
          </w:p>
        </w:tc>
      </w:tr>
      <w:tr w14:paraId="2587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42B721F">
            <w:pPr>
              <w:jc w:val="center"/>
              <w:rPr>
                <w:rFonts w:ascii="宋体" w:cs="宋体"/>
                <w:sz w:val="20"/>
              </w:rPr>
            </w:pPr>
          </w:p>
        </w:tc>
        <w:tc>
          <w:tcPr>
            <w:tcW w:w="3349" w:type="dxa"/>
            <w:gridSpan w:val="2"/>
            <w:tcBorders>
              <w:tl2br w:val="nil"/>
              <w:tr2bl w:val="nil"/>
            </w:tcBorders>
            <w:shd w:val="clear" w:color="auto" w:fill="auto"/>
            <w:vAlign w:val="center"/>
          </w:tcPr>
          <w:p w14:paraId="68520A2D">
            <w:pPr>
              <w:widowControl/>
              <w:jc w:val="left"/>
              <w:textAlignment w:val="center"/>
              <w:rPr>
                <w:rFonts w:ascii="宋体" w:cs="宋体" w:hAnsiTheme="minorHAnsi" w:eastAsiaTheme="minorEastAsia"/>
                <w:kern w:val="2"/>
                <w:sz w:val="20"/>
                <w:szCs w:val="22"/>
                <w:lang w:val="en-US" w:eastAsia="zh-CN" w:bidi="ar-SA"/>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shd w:val="clear" w:color="auto" w:fill="auto"/>
            <w:vAlign w:val="center"/>
          </w:tcPr>
          <w:p w14:paraId="29870B72">
            <w:pPr>
              <w:jc w:val="center"/>
              <w:rPr>
                <w:rFonts w:hint="default" w:ascii="宋体" w:cs="宋体" w:hAnsiTheme="minorHAnsi" w:eastAsiaTheme="minorEastAsia"/>
                <w:kern w:val="2"/>
                <w:sz w:val="20"/>
                <w:szCs w:val="22"/>
                <w:lang w:val="en-US" w:eastAsia="zh-CN" w:bidi="ar-SA"/>
              </w:rPr>
            </w:pPr>
            <w:r>
              <w:rPr>
                <w:rFonts w:hint="eastAsia" w:ascii="宋体" w:cs="宋体"/>
                <w:sz w:val="20"/>
                <w:lang w:val="en-US" w:eastAsia="zh-CN"/>
              </w:rPr>
              <w:t>2015.4</w:t>
            </w:r>
          </w:p>
        </w:tc>
      </w:tr>
      <w:tr w14:paraId="1ADF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4330213">
            <w:pPr>
              <w:jc w:val="center"/>
              <w:rPr>
                <w:rFonts w:ascii="宋体" w:cs="宋体"/>
                <w:sz w:val="20"/>
              </w:rPr>
            </w:pPr>
          </w:p>
        </w:tc>
        <w:tc>
          <w:tcPr>
            <w:tcW w:w="3349" w:type="dxa"/>
            <w:gridSpan w:val="2"/>
            <w:tcBorders>
              <w:tl2br w:val="nil"/>
              <w:tr2bl w:val="nil"/>
            </w:tcBorders>
            <w:shd w:val="clear" w:color="auto" w:fill="auto"/>
            <w:vAlign w:val="center"/>
          </w:tcPr>
          <w:p w14:paraId="766A67B7">
            <w:pPr>
              <w:widowControl/>
              <w:jc w:val="left"/>
              <w:textAlignment w:val="center"/>
              <w:rPr>
                <w:rFonts w:ascii="宋体" w:cs="宋体" w:hAnsiTheme="minorHAnsi" w:eastAsiaTheme="minorEastAsia"/>
                <w:kern w:val="2"/>
                <w:sz w:val="20"/>
                <w:szCs w:val="22"/>
                <w:lang w:val="en-US" w:eastAsia="zh-CN" w:bidi="ar-SA"/>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shd w:val="clear" w:color="auto" w:fill="auto"/>
            <w:vAlign w:val="center"/>
          </w:tcPr>
          <w:p w14:paraId="1ED09999">
            <w:pPr>
              <w:jc w:val="center"/>
              <w:rPr>
                <w:rFonts w:hint="eastAsia" w:ascii="宋体" w:cs="宋体" w:hAnsiTheme="minorHAnsi" w:eastAsiaTheme="minorEastAsia"/>
                <w:kern w:val="2"/>
                <w:sz w:val="20"/>
                <w:szCs w:val="22"/>
                <w:lang w:val="en-US" w:eastAsia="zh-CN" w:bidi="ar-SA"/>
              </w:rPr>
            </w:pPr>
            <w:r>
              <w:rPr>
                <w:rFonts w:hint="eastAsia" w:ascii="宋体" w:cs="宋体"/>
                <w:sz w:val="20"/>
                <w:lang w:val="en-US" w:eastAsia="zh-CN"/>
              </w:rPr>
              <w:t>0</w:t>
            </w:r>
          </w:p>
        </w:tc>
      </w:tr>
      <w:tr w14:paraId="7E6D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27E340B">
            <w:pPr>
              <w:jc w:val="center"/>
              <w:rPr>
                <w:rFonts w:ascii="宋体" w:cs="宋体"/>
                <w:sz w:val="20"/>
              </w:rPr>
            </w:pPr>
          </w:p>
        </w:tc>
        <w:tc>
          <w:tcPr>
            <w:tcW w:w="3349" w:type="dxa"/>
            <w:gridSpan w:val="2"/>
            <w:tcBorders>
              <w:tl2br w:val="nil"/>
              <w:tr2bl w:val="nil"/>
            </w:tcBorders>
            <w:shd w:val="clear" w:color="auto" w:fill="auto"/>
            <w:vAlign w:val="center"/>
          </w:tcPr>
          <w:p w14:paraId="1A9AD8F8">
            <w:pPr>
              <w:widowControl/>
              <w:jc w:val="left"/>
              <w:textAlignment w:val="center"/>
              <w:rPr>
                <w:rFonts w:ascii="宋体" w:cs="宋体" w:hAnsiTheme="minorHAnsi" w:eastAsiaTheme="minorEastAsia"/>
                <w:kern w:val="2"/>
                <w:sz w:val="20"/>
                <w:szCs w:val="22"/>
                <w:lang w:val="en-US" w:eastAsia="zh-CN" w:bidi="ar-SA"/>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shd w:val="clear" w:color="auto" w:fill="auto"/>
            <w:vAlign w:val="center"/>
          </w:tcPr>
          <w:p w14:paraId="274CB47B">
            <w:pPr>
              <w:jc w:val="center"/>
              <w:rPr>
                <w:rFonts w:hint="eastAsia" w:ascii="宋体" w:cs="宋体" w:hAnsiTheme="minorHAnsi" w:eastAsiaTheme="minorEastAsia"/>
                <w:kern w:val="2"/>
                <w:sz w:val="20"/>
                <w:szCs w:val="22"/>
                <w:lang w:val="en-US" w:eastAsia="zh-CN" w:bidi="ar-SA"/>
              </w:rPr>
            </w:pPr>
            <w:r>
              <w:rPr>
                <w:rFonts w:hint="eastAsia" w:ascii="宋体" w:cs="宋体"/>
                <w:sz w:val="20"/>
                <w:lang w:val="en-US" w:eastAsia="zh-CN"/>
              </w:rPr>
              <w:t>0</w:t>
            </w:r>
          </w:p>
        </w:tc>
      </w:tr>
      <w:tr w14:paraId="17D4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44839A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36422477">
            <w:pPr>
              <w:jc w:val="left"/>
              <w:rPr>
                <w:rFonts w:ascii="宋体" w:cs="宋体"/>
                <w:sz w:val="20"/>
              </w:rPr>
            </w:pPr>
            <w:r>
              <w:rPr>
                <w:rFonts w:hint="eastAsia" w:ascii="宋体" w:cs="宋体"/>
                <w:sz w:val="20"/>
              </w:rPr>
              <w:t>每月及时缴纳水电费，保障办公区水电的正常供给；确保区域内各类工作设施设备的正常运行，切实做好后勤保障工作；做好办公区食堂就餐保障，不断提高接待服务工作人员的服务意识和业务水平，高质量完成各项接待任务，树立良好形象。</w:t>
            </w:r>
          </w:p>
        </w:tc>
      </w:tr>
      <w:tr w14:paraId="1DBE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6C78DCE">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0085432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43AB097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5EBA62C1">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794A2DA7">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3A8D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8" w:type="dxa"/>
            <w:vMerge w:val="continue"/>
            <w:tcBorders>
              <w:tl2br w:val="nil"/>
              <w:tr2bl w:val="nil"/>
            </w:tcBorders>
            <w:vAlign w:val="center"/>
          </w:tcPr>
          <w:p w14:paraId="6789C1F4">
            <w:pPr>
              <w:jc w:val="center"/>
              <w:rPr>
                <w:rFonts w:ascii="宋体" w:cs="宋体"/>
                <w:sz w:val="20"/>
              </w:rPr>
            </w:pPr>
          </w:p>
        </w:tc>
        <w:tc>
          <w:tcPr>
            <w:tcW w:w="723" w:type="dxa"/>
            <w:vMerge w:val="restart"/>
            <w:tcBorders>
              <w:tl2br w:val="nil"/>
              <w:tr2bl w:val="nil"/>
            </w:tcBorders>
            <w:vAlign w:val="center"/>
          </w:tcPr>
          <w:p w14:paraId="16AA06A8">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3BF3580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74776A42">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服务人数数量</w:t>
            </w:r>
          </w:p>
        </w:tc>
        <w:tc>
          <w:tcPr>
            <w:tcW w:w="4228" w:type="dxa"/>
            <w:gridSpan w:val="2"/>
            <w:tcBorders>
              <w:tl2br w:val="nil"/>
              <w:tr2bl w:val="nil"/>
            </w:tcBorders>
            <w:vAlign w:val="center"/>
          </w:tcPr>
          <w:p w14:paraId="65D8F3F1">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≥1000人次</w:t>
            </w:r>
          </w:p>
        </w:tc>
      </w:tr>
      <w:tr w14:paraId="16CE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38" w:type="dxa"/>
            <w:vMerge w:val="continue"/>
            <w:tcBorders>
              <w:tl2br w:val="nil"/>
              <w:tr2bl w:val="nil"/>
            </w:tcBorders>
            <w:vAlign w:val="center"/>
          </w:tcPr>
          <w:p w14:paraId="3212A42E">
            <w:pPr>
              <w:jc w:val="center"/>
              <w:rPr>
                <w:rFonts w:ascii="宋体" w:cs="宋体"/>
                <w:sz w:val="20"/>
              </w:rPr>
            </w:pPr>
          </w:p>
        </w:tc>
        <w:tc>
          <w:tcPr>
            <w:tcW w:w="723" w:type="dxa"/>
            <w:vMerge w:val="continue"/>
            <w:tcBorders>
              <w:tl2br w:val="nil"/>
              <w:tr2bl w:val="nil"/>
            </w:tcBorders>
            <w:vAlign w:val="center"/>
          </w:tcPr>
          <w:p w14:paraId="304CEFD5">
            <w:pPr>
              <w:jc w:val="center"/>
              <w:rPr>
                <w:rFonts w:ascii="宋体" w:cs="宋体"/>
                <w:sz w:val="20"/>
              </w:rPr>
            </w:pPr>
          </w:p>
        </w:tc>
        <w:tc>
          <w:tcPr>
            <w:tcW w:w="759" w:type="dxa"/>
            <w:gridSpan w:val="2"/>
            <w:tcBorders>
              <w:tl2br w:val="nil"/>
              <w:tr2bl w:val="nil"/>
            </w:tcBorders>
            <w:vAlign w:val="center"/>
          </w:tcPr>
          <w:p w14:paraId="68656E5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09419F10">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经费支出合规性</w:t>
            </w:r>
          </w:p>
        </w:tc>
        <w:tc>
          <w:tcPr>
            <w:tcW w:w="4228" w:type="dxa"/>
            <w:gridSpan w:val="2"/>
            <w:tcBorders>
              <w:tl2br w:val="nil"/>
              <w:tr2bl w:val="nil"/>
            </w:tcBorders>
            <w:vAlign w:val="center"/>
          </w:tcPr>
          <w:p w14:paraId="3BF1A621">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合规</w:t>
            </w:r>
          </w:p>
        </w:tc>
      </w:tr>
      <w:tr w14:paraId="6D61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38" w:type="dxa"/>
            <w:vMerge w:val="continue"/>
            <w:tcBorders>
              <w:tl2br w:val="nil"/>
              <w:tr2bl w:val="nil"/>
            </w:tcBorders>
            <w:vAlign w:val="center"/>
          </w:tcPr>
          <w:p w14:paraId="50B84C4B">
            <w:pPr>
              <w:jc w:val="center"/>
              <w:rPr>
                <w:rFonts w:ascii="宋体" w:cs="宋体"/>
                <w:sz w:val="20"/>
              </w:rPr>
            </w:pPr>
          </w:p>
        </w:tc>
        <w:tc>
          <w:tcPr>
            <w:tcW w:w="723" w:type="dxa"/>
            <w:vMerge w:val="continue"/>
            <w:tcBorders>
              <w:tl2br w:val="nil"/>
              <w:tr2bl w:val="nil"/>
            </w:tcBorders>
            <w:vAlign w:val="center"/>
          </w:tcPr>
          <w:p w14:paraId="41E8E1BC">
            <w:pPr>
              <w:jc w:val="center"/>
              <w:rPr>
                <w:rFonts w:ascii="宋体" w:cs="宋体"/>
                <w:sz w:val="20"/>
              </w:rPr>
            </w:pPr>
          </w:p>
        </w:tc>
        <w:tc>
          <w:tcPr>
            <w:tcW w:w="759" w:type="dxa"/>
            <w:gridSpan w:val="2"/>
            <w:tcBorders>
              <w:tl2br w:val="nil"/>
              <w:tr2bl w:val="nil"/>
            </w:tcBorders>
            <w:vAlign w:val="center"/>
          </w:tcPr>
          <w:p w14:paraId="1F9B0D5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4E46EF4C">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经费支出时效性</w:t>
            </w:r>
          </w:p>
        </w:tc>
        <w:tc>
          <w:tcPr>
            <w:tcW w:w="4228" w:type="dxa"/>
            <w:gridSpan w:val="2"/>
            <w:tcBorders>
              <w:tl2br w:val="nil"/>
              <w:tr2bl w:val="nil"/>
            </w:tcBorders>
            <w:vAlign w:val="center"/>
          </w:tcPr>
          <w:p w14:paraId="057C4185">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按时完成</w:t>
            </w:r>
          </w:p>
        </w:tc>
      </w:tr>
      <w:tr w14:paraId="70AD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38" w:type="dxa"/>
            <w:vMerge w:val="continue"/>
            <w:tcBorders>
              <w:tl2br w:val="nil"/>
              <w:tr2bl w:val="nil"/>
            </w:tcBorders>
            <w:vAlign w:val="center"/>
          </w:tcPr>
          <w:p w14:paraId="5337E63D">
            <w:pPr>
              <w:jc w:val="center"/>
              <w:rPr>
                <w:rFonts w:ascii="宋体" w:cs="宋体"/>
                <w:sz w:val="20"/>
              </w:rPr>
            </w:pPr>
          </w:p>
        </w:tc>
        <w:tc>
          <w:tcPr>
            <w:tcW w:w="723" w:type="dxa"/>
            <w:vMerge w:val="continue"/>
            <w:tcBorders>
              <w:tl2br w:val="nil"/>
              <w:tr2bl w:val="nil"/>
            </w:tcBorders>
            <w:vAlign w:val="center"/>
          </w:tcPr>
          <w:p w14:paraId="14D6160E">
            <w:pPr>
              <w:jc w:val="center"/>
              <w:rPr>
                <w:rFonts w:ascii="宋体" w:cs="宋体"/>
                <w:sz w:val="20"/>
              </w:rPr>
            </w:pPr>
          </w:p>
        </w:tc>
        <w:tc>
          <w:tcPr>
            <w:tcW w:w="759" w:type="dxa"/>
            <w:gridSpan w:val="2"/>
            <w:tcBorders>
              <w:tl2br w:val="nil"/>
              <w:tr2bl w:val="nil"/>
            </w:tcBorders>
            <w:vAlign w:val="center"/>
          </w:tcPr>
          <w:p w14:paraId="039DD9E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1E35CBC5">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节约成本</w:t>
            </w:r>
          </w:p>
        </w:tc>
        <w:tc>
          <w:tcPr>
            <w:tcW w:w="4228" w:type="dxa"/>
            <w:gridSpan w:val="2"/>
            <w:tcBorders>
              <w:tl2br w:val="nil"/>
              <w:tr2bl w:val="nil"/>
            </w:tcBorders>
            <w:vAlign w:val="center"/>
          </w:tcPr>
          <w:p w14:paraId="1D9CAC52">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≤2015.4万元</w:t>
            </w:r>
          </w:p>
        </w:tc>
      </w:tr>
      <w:tr w14:paraId="33A1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38" w:type="dxa"/>
            <w:vMerge w:val="continue"/>
            <w:tcBorders>
              <w:tl2br w:val="nil"/>
              <w:tr2bl w:val="nil"/>
            </w:tcBorders>
            <w:vAlign w:val="center"/>
          </w:tcPr>
          <w:p w14:paraId="62B30E4D">
            <w:pPr>
              <w:jc w:val="center"/>
              <w:rPr>
                <w:rFonts w:ascii="宋体" w:cs="宋体"/>
                <w:sz w:val="20"/>
              </w:rPr>
            </w:pPr>
          </w:p>
        </w:tc>
        <w:tc>
          <w:tcPr>
            <w:tcW w:w="723" w:type="dxa"/>
            <w:vMerge w:val="restart"/>
            <w:tcBorders>
              <w:tl2br w:val="nil"/>
              <w:tr2bl w:val="nil"/>
            </w:tcBorders>
            <w:vAlign w:val="center"/>
          </w:tcPr>
          <w:p w14:paraId="02614D27">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25DC432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53CB46AE">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对减少财政投资成本的改善程度</w:t>
            </w:r>
          </w:p>
        </w:tc>
        <w:tc>
          <w:tcPr>
            <w:tcW w:w="4228" w:type="dxa"/>
            <w:gridSpan w:val="2"/>
            <w:tcBorders>
              <w:tl2br w:val="nil"/>
              <w:tr2bl w:val="nil"/>
            </w:tcBorders>
            <w:vAlign w:val="center"/>
          </w:tcPr>
          <w:p w14:paraId="5DE24709">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3022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38" w:type="dxa"/>
            <w:vMerge w:val="continue"/>
            <w:tcBorders>
              <w:tl2br w:val="nil"/>
              <w:tr2bl w:val="nil"/>
            </w:tcBorders>
            <w:vAlign w:val="center"/>
          </w:tcPr>
          <w:p w14:paraId="4D672ABE">
            <w:pPr>
              <w:jc w:val="center"/>
              <w:rPr>
                <w:rFonts w:ascii="宋体" w:cs="宋体"/>
                <w:sz w:val="20"/>
              </w:rPr>
            </w:pPr>
          </w:p>
        </w:tc>
        <w:tc>
          <w:tcPr>
            <w:tcW w:w="723" w:type="dxa"/>
            <w:vMerge w:val="continue"/>
            <w:tcBorders>
              <w:tl2br w:val="nil"/>
              <w:tr2bl w:val="nil"/>
            </w:tcBorders>
            <w:vAlign w:val="center"/>
          </w:tcPr>
          <w:p w14:paraId="7149304D">
            <w:pPr>
              <w:jc w:val="center"/>
              <w:rPr>
                <w:rFonts w:ascii="宋体" w:cs="宋体"/>
                <w:sz w:val="20"/>
              </w:rPr>
            </w:pPr>
          </w:p>
        </w:tc>
        <w:tc>
          <w:tcPr>
            <w:tcW w:w="759" w:type="dxa"/>
            <w:gridSpan w:val="2"/>
            <w:tcBorders>
              <w:tl2br w:val="nil"/>
              <w:tr2bl w:val="nil"/>
            </w:tcBorders>
            <w:vAlign w:val="center"/>
          </w:tcPr>
          <w:p w14:paraId="5120018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99E5C07">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对单位履职、促进事业发展的影响或提升程度</w:t>
            </w:r>
          </w:p>
        </w:tc>
        <w:tc>
          <w:tcPr>
            <w:tcW w:w="4228" w:type="dxa"/>
            <w:gridSpan w:val="2"/>
            <w:tcBorders>
              <w:tl2br w:val="nil"/>
              <w:tr2bl w:val="nil"/>
            </w:tcBorders>
            <w:vAlign w:val="center"/>
          </w:tcPr>
          <w:p w14:paraId="73E7E619">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5998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38" w:type="dxa"/>
            <w:vMerge w:val="continue"/>
            <w:tcBorders>
              <w:tl2br w:val="nil"/>
              <w:tr2bl w:val="nil"/>
            </w:tcBorders>
            <w:vAlign w:val="center"/>
          </w:tcPr>
          <w:p w14:paraId="1DA48F6F">
            <w:pPr>
              <w:jc w:val="center"/>
              <w:rPr>
                <w:rFonts w:ascii="宋体" w:cs="宋体"/>
                <w:sz w:val="20"/>
              </w:rPr>
            </w:pPr>
          </w:p>
        </w:tc>
        <w:tc>
          <w:tcPr>
            <w:tcW w:w="723" w:type="dxa"/>
            <w:vMerge w:val="continue"/>
            <w:tcBorders>
              <w:tl2br w:val="nil"/>
              <w:tr2bl w:val="nil"/>
            </w:tcBorders>
            <w:vAlign w:val="center"/>
          </w:tcPr>
          <w:p w14:paraId="12DAF363">
            <w:pPr>
              <w:jc w:val="center"/>
              <w:rPr>
                <w:rFonts w:ascii="宋体" w:cs="宋体"/>
                <w:sz w:val="20"/>
              </w:rPr>
            </w:pPr>
          </w:p>
        </w:tc>
        <w:tc>
          <w:tcPr>
            <w:tcW w:w="759" w:type="dxa"/>
            <w:gridSpan w:val="2"/>
            <w:tcBorders>
              <w:tl2br w:val="nil"/>
              <w:tr2bl w:val="nil"/>
            </w:tcBorders>
            <w:vAlign w:val="center"/>
          </w:tcPr>
          <w:p w14:paraId="700BA1F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D46C10C">
            <w:pPr>
              <w:widowControl/>
              <w:jc w:val="left"/>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采用节能环保建筑材料，倡导绿色健康环保理念</w:t>
            </w:r>
          </w:p>
        </w:tc>
        <w:tc>
          <w:tcPr>
            <w:tcW w:w="4228" w:type="dxa"/>
            <w:gridSpan w:val="2"/>
            <w:tcBorders>
              <w:tl2br w:val="nil"/>
              <w:tr2bl w:val="nil"/>
            </w:tcBorders>
            <w:vAlign w:val="center"/>
          </w:tcPr>
          <w:p w14:paraId="628756C5">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48C4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38" w:type="dxa"/>
            <w:vMerge w:val="continue"/>
            <w:tcBorders>
              <w:tl2br w:val="nil"/>
              <w:tr2bl w:val="nil"/>
            </w:tcBorders>
            <w:vAlign w:val="center"/>
          </w:tcPr>
          <w:p w14:paraId="194746F8">
            <w:pPr>
              <w:jc w:val="center"/>
              <w:rPr>
                <w:rFonts w:ascii="宋体" w:cs="宋体"/>
                <w:sz w:val="20"/>
              </w:rPr>
            </w:pPr>
          </w:p>
        </w:tc>
        <w:tc>
          <w:tcPr>
            <w:tcW w:w="723" w:type="dxa"/>
            <w:vMerge w:val="continue"/>
            <w:tcBorders>
              <w:tl2br w:val="nil"/>
              <w:tr2bl w:val="nil"/>
            </w:tcBorders>
            <w:vAlign w:val="center"/>
          </w:tcPr>
          <w:p w14:paraId="14325EAF">
            <w:pPr>
              <w:jc w:val="center"/>
              <w:rPr>
                <w:rFonts w:ascii="宋体" w:cs="宋体"/>
                <w:sz w:val="20"/>
              </w:rPr>
            </w:pPr>
          </w:p>
        </w:tc>
        <w:tc>
          <w:tcPr>
            <w:tcW w:w="759" w:type="dxa"/>
            <w:gridSpan w:val="2"/>
            <w:tcBorders>
              <w:tl2br w:val="nil"/>
              <w:tr2bl w:val="nil"/>
            </w:tcBorders>
            <w:vAlign w:val="center"/>
          </w:tcPr>
          <w:p w14:paraId="53D29600">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6AE805AF">
            <w:pPr>
              <w:widowControl/>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对保障机构持续稳定运转、持续发挥职能的改善或提升程度</w:t>
            </w:r>
          </w:p>
        </w:tc>
        <w:tc>
          <w:tcPr>
            <w:tcW w:w="4228" w:type="dxa"/>
            <w:gridSpan w:val="2"/>
            <w:tcBorders>
              <w:tl2br w:val="nil"/>
              <w:tr2bl w:val="nil"/>
            </w:tcBorders>
            <w:vAlign w:val="center"/>
          </w:tcPr>
          <w:p w14:paraId="3DA4B0B2">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发挥积极作用</w:t>
            </w:r>
          </w:p>
        </w:tc>
      </w:tr>
      <w:tr w14:paraId="6D95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38" w:type="dxa"/>
            <w:vMerge w:val="continue"/>
            <w:tcBorders>
              <w:tl2br w:val="nil"/>
              <w:tr2bl w:val="nil"/>
            </w:tcBorders>
            <w:vAlign w:val="center"/>
          </w:tcPr>
          <w:p w14:paraId="53C42F8B">
            <w:pPr>
              <w:jc w:val="center"/>
              <w:rPr>
                <w:rFonts w:ascii="宋体" w:cs="宋体"/>
                <w:sz w:val="20"/>
              </w:rPr>
            </w:pPr>
          </w:p>
        </w:tc>
        <w:tc>
          <w:tcPr>
            <w:tcW w:w="723" w:type="dxa"/>
            <w:tcBorders>
              <w:tl2br w:val="nil"/>
              <w:tr2bl w:val="nil"/>
            </w:tcBorders>
            <w:vAlign w:val="center"/>
          </w:tcPr>
          <w:p w14:paraId="3EAF676E">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7AC1E2E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5BD00F5F">
            <w:pPr>
              <w:widowControl/>
              <w:jc w:val="left"/>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服务对象满意度</w:t>
            </w:r>
          </w:p>
        </w:tc>
        <w:tc>
          <w:tcPr>
            <w:tcW w:w="4228" w:type="dxa"/>
            <w:gridSpan w:val="2"/>
            <w:tcBorders>
              <w:tl2br w:val="nil"/>
              <w:tr2bl w:val="nil"/>
            </w:tcBorders>
            <w:vAlign w:val="center"/>
          </w:tcPr>
          <w:p w14:paraId="7DA96788">
            <w:pPr>
              <w:jc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≥95%</w:t>
            </w:r>
          </w:p>
        </w:tc>
      </w:tr>
    </w:tbl>
    <w:p w14:paraId="1310A119">
      <w:pPr>
        <w:ind w:firstLine="640" w:firstLineChars="200"/>
        <w:rPr>
          <w:rFonts w:ascii="TimesNewRoman" w:hAnsi="TimesNewRoman" w:eastAsia="仿宋_GB2312" w:cs="TimesNewRoman"/>
          <w:kern w:val="0"/>
          <w:sz w:val="32"/>
          <w:szCs w:val="32"/>
        </w:rPr>
      </w:pPr>
    </w:p>
    <w:p w14:paraId="005454FD">
      <w:pPr>
        <w:adjustRightInd w:val="0"/>
        <w:snapToGrid w:val="0"/>
        <w:spacing w:line="580" w:lineRule="exact"/>
        <w:ind w:firstLine="643" w:firstLineChars="200"/>
        <w:rPr>
          <w:rFonts w:ascii="TimesNewRoman" w:hAnsi="TimesNewRoman" w:eastAsia="楷体_GB2312" w:cs="TimesNewRoman"/>
          <w:color w:val="FF0000"/>
          <w:sz w:val="32"/>
          <w:szCs w:val="32"/>
        </w:rPr>
      </w:pPr>
      <w:r>
        <w:rPr>
          <w:rFonts w:hint="eastAsia" w:ascii="TimesNewRoman" w:hAnsi="TimesNewRoman" w:eastAsia="仿宋_GB2312" w:cs="TimesNewRoman"/>
          <w:b/>
          <w:sz w:val="32"/>
          <w:szCs w:val="32"/>
        </w:rPr>
        <w:t>（二）机关运行经费。</w:t>
      </w:r>
    </w:p>
    <w:p w14:paraId="4AF169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年机关运行经费财政拨款预算</w:t>
      </w:r>
      <w:r>
        <w:rPr>
          <w:rFonts w:hint="eastAsia" w:ascii="TimesNewRoman" w:hAnsi="TimesNewRoman" w:eastAsia="仿宋_GB2312" w:cs="TimesNewRoman"/>
          <w:kern w:val="0"/>
          <w:sz w:val="32"/>
          <w:szCs w:val="32"/>
          <w:lang w:val="en-US" w:eastAsia="zh-CN"/>
        </w:rPr>
        <w:t>26.28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2.75</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9.47</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人员减少</w:t>
      </w:r>
      <w:r>
        <w:rPr>
          <w:rFonts w:hint="eastAsia" w:ascii="TimesNewRoman" w:hAnsi="TimesNewRoman" w:eastAsia="仿宋_GB2312" w:cs="TimesNewRoman"/>
          <w:kern w:val="0"/>
          <w:sz w:val="32"/>
          <w:szCs w:val="32"/>
        </w:rPr>
        <w:t>。</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46CEA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烈山区机关事务管理中心2026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70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70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47E93E0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年12月31日，淮北市</w:t>
      </w:r>
      <w:r>
        <w:rPr>
          <w:rFonts w:hint="eastAsia" w:ascii="TimesNewRoman" w:hAnsi="TimesNewRoman" w:eastAsia="仿宋_GB2312" w:cs="TimesNewRoman"/>
          <w:kern w:val="0"/>
          <w:sz w:val="32"/>
          <w:szCs w:val="32"/>
          <w:lang w:eastAsia="zh-CN"/>
        </w:rPr>
        <w:t>烈山区机关事务管理中心</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37</w:t>
      </w:r>
      <w:r>
        <w:rPr>
          <w:rFonts w:hint="eastAsia" w:ascii="TimesNewRoman" w:hAnsi="TimesNewRoman" w:eastAsia="仿宋_GB2312" w:cs="TimesNewRoman"/>
          <w:kern w:val="0"/>
          <w:sz w:val="32"/>
          <w:szCs w:val="32"/>
        </w:rPr>
        <w:t>辆，其中：其他用车</w:t>
      </w:r>
      <w:r>
        <w:rPr>
          <w:rFonts w:hint="eastAsia" w:ascii="TimesNewRoman" w:hAnsi="TimesNewRoman" w:eastAsia="仿宋_GB2312" w:cs="TimesNewRoman"/>
          <w:kern w:val="0"/>
          <w:sz w:val="32"/>
          <w:szCs w:val="32"/>
          <w:lang w:val="en-US" w:eastAsia="zh-CN"/>
        </w:rPr>
        <w:t>37</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4140A9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w:t>
      </w:r>
      <w:r>
        <w:rPr>
          <w:rFonts w:hint="eastAsia" w:ascii="TimesNewRoman" w:hAnsi="TimesNewRoman" w:eastAsia="仿宋_GB2312" w:cs="TimesNewRoman"/>
          <w:kern w:val="0"/>
          <w:sz w:val="32"/>
          <w:szCs w:val="32"/>
          <w:lang w:eastAsia="zh-CN"/>
        </w:rPr>
        <w:t>烈山区机关事务管理中心</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D8C7C0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5C58666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年，淮北市</w:t>
      </w:r>
      <w:r>
        <w:rPr>
          <w:rFonts w:hint="eastAsia" w:ascii="TimesNewRoman" w:hAnsi="TimesNewRoman" w:eastAsia="仿宋_GB2312" w:cs="TimesNewRoman"/>
          <w:kern w:val="0"/>
          <w:sz w:val="32"/>
          <w:szCs w:val="32"/>
          <w:lang w:eastAsia="zh-CN"/>
        </w:rPr>
        <w:t>烈山区机关事务管理中心</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2297.4</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66134785">
      <w:pPr>
        <w:pStyle w:val="5"/>
        <w:adjustRightInd w:val="0"/>
        <w:snapToGrid w:val="0"/>
        <w:spacing w:line="560" w:lineRule="exact"/>
        <w:jc w:val="center"/>
        <w:rPr>
          <w:rFonts w:ascii="TimesNewRoman" w:hAnsi="TimesNewRoman" w:eastAsia="黑体" w:cs="TimesNewRoman"/>
          <w:bCs/>
          <w:sz w:val="36"/>
          <w:szCs w:val="36"/>
        </w:rPr>
      </w:pPr>
    </w:p>
    <w:p w14:paraId="2D1D0CF8">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22AEA0B1"/>
    <w:p w14:paraId="3728C047">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1A685093">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eastAsia="zh-CN"/>
        </w:rPr>
        <w:t>二</w:t>
      </w:r>
      <w:r>
        <w:rPr>
          <w:rFonts w:hint="eastAsia" w:ascii="TimesNewRoman" w:hAnsi="TimesNewRoman" w:eastAsia="仿宋_GB2312" w:cs="TimesNewRoman"/>
          <w:b/>
          <w:sz w:val="32"/>
          <w:szCs w:val="32"/>
        </w:rPr>
        <w:t>、上年结转：</w:t>
      </w:r>
      <w:r>
        <w:rPr>
          <w:rFonts w:hint="eastAsia" w:ascii="TimesNewRoman" w:hAnsi="TimesNewRoman" w:eastAsia="仿宋_GB2312" w:cs="TimesNewRoman"/>
          <w:sz w:val="32"/>
          <w:szCs w:val="32"/>
        </w:rPr>
        <w:t>指以前年度安排、结转到本年仍按原用途继续使用的资金。</w:t>
      </w:r>
    </w:p>
    <w:p w14:paraId="6C83B292">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eastAsia="zh-CN"/>
        </w:rPr>
        <w:t>三</w:t>
      </w:r>
      <w:r>
        <w:rPr>
          <w:rFonts w:hint="eastAsia" w:ascii="TimesNewRoman" w:hAnsi="TimesNewRoman" w:eastAsia="仿宋_GB2312" w:cs="TimesNewRoman"/>
          <w:b/>
          <w:sz w:val="32"/>
          <w:szCs w:val="32"/>
        </w:rPr>
        <w:t>、结转下年：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eastAsia="zh-CN"/>
        </w:rPr>
        <w:t>四</w:t>
      </w:r>
      <w:r>
        <w:rPr>
          <w:rFonts w:hint="eastAsia" w:ascii="TimesNewRoman" w:hAnsi="TimesNewRoman" w:eastAsia="仿宋_GB2312" w:cs="TimesNewRoman"/>
          <w:b/>
          <w:sz w:val="32"/>
          <w:szCs w:val="32"/>
        </w:rPr>
        <w:t>、基本支出：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eastAsia="zh-CN"/>
        </w:rPr>
        <w:t>五</w:t>
      </w:r>
      <w:r>
        <w:rPr>
          <w:rFonts w:hint="eastAsia" w:ascii="TimesNewRoman" w:hAnsi="TimesNewRoman" w:eastAsia="仿宋_GB2312" w:cs="TimesNewRoman"/>
          <w:b/>
          <w:sz w:val="32"/>
          <w:szCs w:val="32"/>
        </w:rPr>
        <w:t>、项目支出：</w:t>
      </w:r>
      <w:r>
        <w:rPr>
          <w:rFonts w:hint="eastAsia" w:ascii="TimesNewRoman" w:hAnsi="TimesNewRoman" w:eastAsia="仿宋_GB2312" w:cs="TimesNewRoman"/>
          <w:sz w:val="32"/>
          <w:szCs w:val="32"/>
        </w:rPr>
        <w:t>指在除基本支出之外的支出，主要用于完成特定的工作任务和事业发展目标。</w:t>
      </w:r>
    </w:p>
    <w:p w14:paraId="68E93077">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lang w:eastAsia="zh-CN"/>
        </w:rPr>
        <w:t>六</w:t>
      </w:r>
      <w:r>
        <w:rPr>
          <w:rFonts w:hint="eastAsia" w:ascii="TimesNewRoman" w:hAnsi="TimesNewRoman" w:eastAsia="仿宋_GB2312" w:cs="TimesNewRoman"/>
          <w:b/>
          <w:sz w:val="32"/>
          <w:szCs w:val="32"/>
        </w:rPr>
        <w:t xml:space="preserve">、机关运行经费: </w:t>
      </w:r>
      <w:r>
        <w:rPr>
          <w:rFonts w:hint="eastAsia" w:ascii="TimesNewRoman" w:hAnsi="TimesNewRoman" w:eastAsia="仿宋_GB2312" w:cs="TimesNewRoman"/>
          <w:sz w:val="32"/>
          <w:szCs w:val="32"/>
        </w:rPr>
        <w:t>为保障行政单位（包括参照公务员法管理的事业单位）运行用于购买货物和服务的</w:t>
      </w:r>
      <w:bookmarkStart w:id="0" w:name="_GoBack"/>
      <w:bookmarkEnd w:id="0"/>
      <w:r>
        <w:rPr>
          <w:rFonts w:hint="eastAsia" w:ascii="TimesNewRoman" w:hAnsi="TimesNewRoman" w:eastAsia="仿宋_GB2312" w:cs="TimesNewRoman"/>
          <w:sz w:val="32"/>
          <w:szCs w:val="32"/>
        </w:rPr>
        <w:t>各项资金，包括办公及印刷费、邮电费、差旅费、会议费、福利费、日常维修费、一般设备购置费、办公用房水电费、办公用房取暖费、办公用房物业管理费、公务用车运行维护费以及其他费用。</w:t>
      </w:r>
    </w:p>
    <w:p w14:paraId="32F94510"/>
    <w:p w14:paraId="41413573"/>
    <w:p w14:paraId="1350273F"/>
    <w:p w14:paraId="4A5DCC18"/>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A470B"/>
    <w:multiLevelType w:val="singleLevel"/>
    <w:tmpl w:val="F3FA470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907559F"/>
    <w:rsid w:val="09C636AF"/>
    <w:rsid w:val="0C66734E"/>
    <w:rsid w:val="0DEC4F06"/>
    <w:rsid w:val="1C56155A"/>
    <w:rsid w:val="1C761D54"/>
    <w:rsid w:val="28F36C96"/>
    <w:rsid w:val="2B892B15"/>
    <w:rsid w:val="3AE70D4F"/>
    <w:rsid w:val="46962DF6"/>
    <w:rsid w:val="4F6F0B13"/>
    <w:rsid w:val="536736A4"/>
    <w:rsid w:val="54083AFC"/>
    <w:rsid w:val="576F7970"/>
    <w:rsid w:val="78C3466A"/>
    <w:rsid w:val="7ADE3A1A"/>
    <w:rsid w:val="7C561BE3"/>
    <w:rsid w:val="7E320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5621</Words>
  <Characters>6085</Characters>
  <Lines>46</Lines>
  <Paragraphs>13</Paragraphs>
  <TotalTime>0</TotalTime>
  <ScaleCrop>false</ScaleCrop>
  <LinksUpToDate>false</LinksUpToDate>
  <CharactersWithSpaces>6196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云妮洛普</cp:lastModifiedBy>
  <dcterms:modified xsi:type="dcterms:W3CDTF">2026-02-04T08:26:47Z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eyJoZGlkIjoiOTg3YTljNGZlZjYxZDQ0YmNjMWEzZWJjYTViZDg3YWYiLCJ1c2VySWQiOiIzMjU2NzIxNDgifQ==</vt:lpwstr>
  </property>
  <property fmtid="{D5CDD505-2E9C-101B-9397-08002B2CF9AE}" pid="3" name="KSOProductBuildVer">
    <vt:lpwstr>2052-12.1.0.24657</vt:lpwstr>
  </property>
  <property fmtid="{D5CDD505-2E9C-101B-9397-08002B2CF9AE}" pid="4" name="ICV">
    <vt:lpwstr>92DBA82AFAC345F6B011932C965340A3_12</vt:lpwstr>
  </property>
</Properties>
</file>