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bookmarkStart w:id="0" w:name="_GoBack"/>
      <w:bookmarkEnd w:id="0"/>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关于202</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5</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年预算执行情况和202</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6</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预算（草案）的报告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b/>
          <w:bCs/>
          <w:color w:val="000000" w:themeColor="text1"/>
          <w:spacing w:val="-6"/>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spacing w:val="-6"/>
          <w:sz w:val="32"/>
          <w:szCs w:val="32"/>
          <w:highlight w:val="none"/>
          <w14:textFill>
            <w14:solidFill>
              <w14:schemeClr w14:val="tx1"/>
            </w14:solidFill>
          </w14:textFill>
        </w:rPr>
        <w:t>——</w:t>
      </w:r>
      <w:r>
        <w:rPr>
          <w:rFonts w:hint="default" w:ascii="Times New Roman" w:hAnsi="Times New Roman" w:eastAsia="楷体_GB2312" w:cs="Times New Roman"/>
          <w:b/>
          <w:bCs/>
          <w:color w:val="000000" w:themeColor="text1"/>
          <w:spacing w:val="-6"/>
          <w:sz w:val="32"/>
          <w:szCs w:val="32"/>
          <w:highlight w:val="none"/>
          <w:lang w:val="en-US" w:eastAsia="zh-CN"/>
          <w14:textFill>
            <w14:solidFill>
              <w14:schemeClr w14:val="tx1"/>
            </w14:solidFill>
          </w14:textFill>
        </w:rPr>
        <w:t>2026</w:t>
      </w:r>
      <w:r>
        <w:rPr>
          <w:rFonts w:hint="default" w:ascii="Times New Roman" w:hAnsi="Times New Roman" w:eastAsia="楷体_GB2312" w:cs="Times New Roman"/>
          <w:b/>
          <w:bCs/>
          <w:color w:val="000000" w:themeColor="text1"/>
          <w:spacing w:val="-6"/>
          <w:sz w:val="32"/>
          <w:szCs w:val="32"/>
          <w:highlight w:val="none"/>
          <w14:textFill>
            <w14:solidFill>
              <w14:schemeClr w14:val="tx1"/>
            </w14:solidFill>
          </w14:textFill>
        </w:rPr>
        <w:t>年</w:t>
      </w:r>
      <w:r>
        <w:rPr>
          <w:rFonts w:hint="default" w:ascii="Times New Roman" w:hAnsi="Times New Roman" w:eastAsia="楷体_GB2312" w:cs="Times New Roman"/>
          <w:b/>
          <w:bCs/>
          <w:color w:val="000000" w:themeColor="text1"/>
          <w:spacing w:val="-6"/>
          <w:sz w:val="32"/>
          <w:szCs w:val="32"/>
          <w:highlight w:val="none"/>
          <w:lang w:val="en-US" w:eastAsia="zh-CN"/>
          <w14:textFill>
            <w14:solidFill>
              <w14:schemeClr w14:val="tx1"/>
            </w14:solidFill>
          </w14:textFill>
        </w:rPr>
        <w:t>1</w:t>
      </w:r>
      <w:r>
        <w:rPr>
          <w:rFonts w:hint="default" w:ascii="Times New Roman" w:hAnsi="Times New Roman" w:eastAsia="楷体_GB2312" w:cs="Times New Roman"/>
          <w:b/>
          <w:bCs/>
          <w:color w:val="000000" w:themeColor="text1"/>
          <w:spacing w:val="-6"/>
          <w:sz w:val="32"/>
          <w:szCs w:val="32"/>
          <w:highlight w:val="none"/>
          <w14:textFill>
            <w14:solidFill>
              <w14:schemeClr w14:val="tx1"/>
            </w14:solidFill>
          </w14:textFill>
        </w:rPr>
        <w:t>月</w:t>
      </w:r>
      <w:r>
        <w:rPr>
          <w:rFonts w:hint="default" w:ascii="Times New Roman" w:hAnsi="Times New Roman" w:eastAsia="楷体_GB2312" w:cs="Times New Roman"/>
          <w:b/>
          <w:bCs/>
          <w:color w:val="000000" w:themeColor="text1"/>
          <w:spacing w:val="-6"/>
          <w:sz w:val="32"/>
          <w:szCs w:val="32"/>
          <w:highlight w:val="none"/>
          <w:lang w:val="en-US" w:eastAsia="zh-CN"/>
          <w14:textFill>
            <w14:solidFill>
              <w14:schemeClr w14:val="tx1"/>
            </w14:solidFill>
          </w14:textFill>
        </w:rPr>
        <w:t>14</w:t>
      </w:r>
      <w:r>
        <w:rPr>
          <w:rFonts w:hint="default" w:ascii="Times New Roman" w:hAnsi="Times New Roman" w:eastAsia="楷体_GB2312" w:cs="Times New Roman"/>
          <w:b/>
          <w:bCs/>
          <w:color w:val="000000" w:themeColor="text1"/>
          <w:spacing w:val="-6"/>
          <w:sz w:val="32"/>
          <w:szCs w:val="32"/>
          <w:highlight w:val="none"/>
          <w14:textFill>
            <w14:solidFill>
              <w14:schemeClr w14:val="tx1"/>
            </w14:solidFill>
          </w14:textFill>
        </w:rPr>
        <w:t>日在</w:t>
      </w:r>
      <w:r>
        <w:rPr>
          <w:rFonts w:hint="default" w:ascii="Times New Roman" w:hAnsi="Times New Roman" w:eastAsia="楷体_GB2312" w:cs="Times New Roman"/>
          <w:b/>
          <w:bCs/>
          <w:color w:val="000000" w:themeColor="text1"/>
          <w:spacing w:val="-6"/>
          <w:sz w:val="32"/>
          <w:szCs w:val="32"/>
          <w:highlight w:val="none"/>
          <w:lang w:eastAsia="zh-CN"/>
          <w14:textFill>
            <w14:solidFill>
              <w14:schemeClr w14:val="tx1"/>
            </w14:solidFill>
          </w14:textFill>
        </w:rPr>
        <w:t>区</w:t>
      </w:r>
      <w:r>
        <w:rPr>
          <w:rFonts w:hint="default" w:ascii="Times New Roman" w:hAnsi="Times New Roman" w:eastAsia="楷体_GB2312" w:cs="Times New Roman"/>
          <w:b/>
          <w:bCs/>
          <w:color w:val="000000" w:themeColor="text1"/>
          <w:spacing w:val="-6"/>
          <w:sz w:val="32"/>
          <w:szCs w:val="32"/>
          <w:highlight w:val="none"/>
          <w14:textFill>
            <w14:solidFill>
              <w14:schemeClr w14:val="tx1"/>
            </w14:solidFill>
          </w14:textFill>
        </w:rPr>
        <w:t>第十</w:t>
      </w:r>
      <w:r>
        <w:rPr>
          <w:rFonts w:hint="default" w:ascii="Times New Roman" w:hAnsi="Times New Roman" w:eastAsia="楷体_GB2312" w:cs="Times New Roman"/>
          <w:b/>
          <w:bCs/>
          <w:color w:val="000000" w:themeColor="text1"/>
          <w:spacing w:val="-6"/>
          <w:sz w:val="32"/>
          <w:szCs w:val="32"/>
          <w:highlight w:val="none"/>
          <w:lang w:eastAsia="zh-CN"/>
          <w14:textFill>
            <w14:solidFill>
              <w14:schemeClr w14:val="tx1"/>
            </w14:solidFill>
          </w14:textFill>
        </w:rPr>
        <w:t>一</w:t>
      </w:r>
      <w:r>
        <w:rPr>
          <w:rFonts w:hint="default" w:ascii="Times New Roman" w:hAnsi="Times New Roman" w:eastAsia="楷体_GB2312" w:cs="Times New Roman"/>
          <w:b/>
          <w:bCs/>
          <w:color w:val="000000" w:themeColor="text1"/>
          <w:spacing w:val="-6"/>
          <w:sz w:val="32"/>
          <w:szCs w:val="32"/>
          <w:highlight w:val="none"/>
          <w14:textFill>
            <w14:solidFill>
              <w14:schemeClr w14:val="tx1"/>
            </w14:solidFill>
          </w14:textFill>
        </w:rPr>
        <w:t>届人民代表大会第</w:t>
      </w:r>
      <w:r>
        <w:rPr>
          <w:rFonts w:hint="default" w:ascii="Times New Roman" w:hAnsi="Times New Roman" w:eastAsia="楷体_GB2312" w:cs="Times New Roman"/>
          <w:b/>
          <w:bCs/>
          <w:color w:val="000000" w:themeColor="text1"/>
          <w:spacing w:val="-6"/>
          <w:sz w:val="32"/>
          <w:szCs w:val="32"/>
          <w:highlight w:val="none"/>
          <w:lang w:val="en-US" w:eastAsia="zh-CN"/>
          <w14:textFill>
            <w14:solidFill>
              <w14:schemeClr w14:val="tx1"/>
            </w14:solidFill>
          </w14:textFill>
        </w:rPr>
        <w:t>六</w:t>
      </w:r>
      <w:r>
        <w:rPr>
          <w:rFonts w:hint="default" w:ascii="Times New Roman" w:hAnsi="Times New Roman" w:eastAsia="楷体_GB2312" w:cs="Times New Roman"/>
          <w:b/>
          <w:bCs/>
          <w:color w:val="000000" w:themeColor="text1"/>
          <w:spacing w:val="-6"/>
          <w:sz w:val="32"/>
          <w:szCs w:val="32"/>
          <w:highlight w:val="none"/>
          <w14:textFill>
            <w14:solidFill>
              <w14:schemeClr w14:val="tx1"/>
            </w14:solidFill>
          </w14:textFill>
        </w:rPr>
        <w:t>次会议上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 xml:space="preserve">财政局局长  </w:t>
      </w: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张传军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各位代表：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受区人民政府委托，向大会书面报告全区2025年财政预算执行情况和2026年财政预算（草案），请予以审议，并请区政协各位委员和列席人员提出意见。</w:t>
      </w:r>
    </w:p>
    <w:p>
      <w:pPr>
        <w:keepNext w:val="0"/>
        <w:keepLines w:val="0"/>
        <w:pageBreakBefore w:val="0"/>
        <w:widowControl/>
        <w:suppressLineNumbers w:val="0"/>
        <w:kinsoku/>
        <w:wordWrap/>
        <w:overflowPunct/>
        <w:topLinePunct w:val="0"/>
        <w:autoSpaceDE/>
        <w:bidi w:val="0"/>
        <w:adjustRightInd/>
        <w:spacing w:line="580" w:lineRule="exact"/>
        <w:ind w:firstLine="640" w:firstLineChars="200"/>
        <w:jc w:val="left"/>
        <w:textAlignment w:val="auto"/>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一、202</w:t>
      </w: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年财政预算执行情况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是“十四五”规划收官之年，也是为“十五五”良好开局打牢基础的关键之年。区财政部门坚持以习近平新时代中国特色社会主义思想为指导，全面贯彻党的二十大和二十届历次全会精神，全面落实习近平总书记对安徽作出的系列重要讲话指示批示精神，坚持稳中求进工作总基调，完整、准确、全面贯彻新发展理念，推动财政收入平稳增长、财政支出提质提效、财政管理持续加强，较好完成年度预算目标任务。</w:t>
      </w:r>
    </w:p>
    <w:p>
      <w:pPr>
        <w:keepNext w:val="0"/>
        <w:keepLines w:val="0"/>
        <w:pageBreakBefore w:val="0"/>
        <w:widowControl/>
        <w:suppressLineNumbers w:val="0"/>
        <w:kinsoku/>
        <w:wordWrap/>
        <w:overflowPunct/>
        <w:topLinePunct w:val="0"/>
        <w:autoSpaceDE/>
        <w:bidi w:val="0"/>
        <w:adjustRightInd/>
        <w:spacing w:line="580" w:lineRule="exact"/>
        <w:ind w:firstLine="643" w:firstLineChars="200"/>
        <w:jc w:val="left"/>
        <w:textAlignment w:val="auto"/>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（一）一般公共预算执行情况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全区一般公共预算收入完成56294万元（同比增长7.8%，超额完成年初设定的3%增长目标），加上级补助收入105554万元、地方政府一般债务转贷收入6354万元、调入资金27370万元、上年结余收入1962万元，收入总计197534万元；全区一般公共预算支出完成190122万元，加一般债务还本支出2409万元、上解支出4561万元、安排预算稳定调节基金294万元，支出总计197386万元，收支相抵，结转下年148万元。</w:t>
      </w:r>
    </w:p>
    <w:p>
      <w:pPr>
        <w:keepNext w:val="0"/>
        <w:keepLines w:val="0"/>
        <w:pageBreakBefore w:val="0"/>
        <w:widowControl/>
        <w:suppressLineNumbers w:val="0"/>
        <w:kinsoku/>
        <w:wordWrap/>
        <w:overflowPunct/>
        <w:topLinePunct w:val="0"/>
        <w:autoSpaceDE/>
        <w:bidi w:val="0"/>
        <w:adjustRightInd/>
        <w:spacing w:line="580" w:lineRule="exact"/>
        <w:ind w:firstLine="643" w:firstLineChars="200"/>
        <w:jc w:val="left"/>
        <w:textAlignment w:val="auto"/>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楷体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政府性基金预算执行情况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2025年全区政府性基金预算中上级补助收入36502万元、加地方政府专项债务转贷收入50800万元、调入资金10441万元、上年结转5183万元，收入总计102926万元；全区政府性基金预算支出完成86702万元、加专项债务还本支出2900万元、调出资金3576万元，支出总计93178万元，收支相抵，结转下年9748万元。</w:t>
      </w:r>
    </w:p>
    <w:p>
      <w:pPr>
        <w:keepNext w:val="0"/>
        <w:keepLines w:val="0"/>
        <w:pageBreakBefore w:val="0"/>
        <w:widowControl/>
        <w:suppressLineNumbers w:val="0"/>
        <w:kinsoku/>
        <w:wordWrap/>
        <w:overflowPunct/>
        <w:topLinePunct w:val="0"/>
        <w:autoSpaceDE/>
        <w:bidi w:val="0"/>
        <w:adjustRightInd/>
        <w:spacing w:line="580" w:lineRule="exact"/>
        <w:ind w:firstLine="643" w:firstLineChars="200"/>
        <w:jc w:val="left"/>
        <w:textAlignment w:val="auto"/>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（三）国有资本经营预算执行情况</w:t>
      </w:r>
    </w:p>
    <w:p>
      <w:pPr>
        <w:pStyle w:val="3"/>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2025年全区国有资本经营预算中区属国有企业历年石料出让收益集中核算上缴收入11000万元、加上级补助收入359万元、上年结转416万元，收入总计11775万元；全区国有资本经营预算支出61万元、调出资金11358万元，支出总计11419万元，收支相抵，结转下年356万元。</w:t>
      </w:r>
    </w:p>
    <w:p>
      <w:pPr>
        <w:keepNext w:val="0"/>
        <w:keepLines w:val="0"/>
        <w:pageBreakBefore w:val="0"/>
        <w:widowControl/>
        <w:suppressLineNumbers w:val="0"/>
        <w:kinsoku/>
        <w:wordWrap/>
        <w:overflowPunct/>
        <w:topLinePunct w:val="0"/>
        <w:autoSpaceDE/>
        <w:bidi w:val="0"/>
        <w:adjustRightInd/>
        <w:spacing w:line="580" w:lineRule="exact"/>
        <w:ind w:firstLine="643" w:firstLineChars="200"/>
        <w:jc w:val="left"/>
        <w:textAlignment w:val="auto"/>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（四）政府债务预算执行情况</w:t>
      </w:r>
    </w:p>
    <w:p>
      <w:pPr>
        <w:pStyle w:val="3"/>
        <w:keepNext w:val="0"/>
        <w:keepLines w:val="0"/>
        <w:pageBreakBefore w:val="0"/>
        <w:kinsoku/>
        <w:wordWrap/>
        <w:overflowPunct/>
        <w:topLinePunct w:val="0"/>
        <w:autoSpaceDE/>
        <w:bidi w:val="0"/>
        <w:adjustRightInd/>
        <w:spacing w:line="580" w:lineRule="exact"/>
        <w:ind w:firstLine="64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2025年到位政府债券资金56671万元，其中31371万元专项债券用于化解拖欠企业账款；16300万元专项债券用于全域旅游、新型城镇化、乡村振兴、全民健身等项目建设；5000万元专项债券用于置换2016年烈山区壇山、花庄等棚户区改造隐性债务；4000万元一般债券用于和美乡村建设。</w:t>
      </w:r>
    </w:p>
    <w:p>
      <w:pPr>
        <w:pStyle w:val="3"/>
        <w:keepNext w:val="0"/>
        <w:keepLines w:val="0"/>
        <w:pageBreakBefore w:val="0"/>
        <w:kinsoku/>
        <w:wordWrap/>
        <w:overflowPunct/>
        <w:topLinePunct w:val="0"/>
        <w:autoSpaceDE/>
        <w:bidi w:val="0"/>
        <w:adjustRightInd/>
        <w:spacing w:line="580" w:lineRule="exact"/>
        <w:ind w:firstLine="64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2025年到期政府债务本息12540万元，通过预算安排和申请发行再融资债券偿还，全部实现应偿尽偿。</w:t>
      </w:r>
    </w:p>
    <w:p>
      <w:pPr>
        <w:pStyle w:val="3"/>
        <w:keepNext w:val="0"/>
        <w:keepLines w:val="0"/>
        <w:pageBreakBefore w:val="0"/>
        <w:kinsoku/>
        <w:wordWrap/>
        <w:overflowPunct/>
        <w:topLinePunct w:val="0"/>
        <w:autoSpaceDE/>
        <w:bidi w:val="0"/>
        <w:adjustRightInd/>
        <w:spacing w:line="580" w:lineRule="exact"/>
        <w:ind w:firstLine="64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以上财政收支数据均为快报统计数，待2025年决算办理完毕后，再按程序据实向区人大常委会报告。</w:t>
      </w:r>
    </w:p>
    <w:p>
      <w:pPr>
        <w:keepNext w:val="0"/>
        <w:keepLines w:val="0"/>
        <w:pageBreakBefore w:val="0"/>
        <w:widowControl/>
        <w:suppressLineNumbers w:val="0"/>
        <w:kinsoku/>
        <w:wordWrap/>
        <w:overflowPunct/>
        <w:topLinePunct w:val="0"/>
        <w:autoSpaceDE/>
        <w:bidi w:val="0"/>
        <w:adjustRightInd/>
        <w:spacing w:line="580" w:lineRule="exact"/>
        <w:ind w:firstLine="640" w:firstLineChars="200"/>
        <w:jc w:val="left"/>
        <w:textAlignment w:val="auto"/>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落实</w:t>
      </w:r>
      <w:r>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t>区</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人大决议及财政重点工作情况</w:t>
      </w:r>
    </w:p>
    <w:p>
      <w:pPr>
        <w:pStyle w:val="3"/>
        <w:keepNext w:val="0"/>
        <w:keepLines w:val="0"/>
        <w:pageBreakBefore w:val="0"/>
        <w:kinsoku/>
        <w:wordWrap/>
        <w:overflowPunct/>
        <w:topLinePunct w:val="0"/>
        <w:autoSpaceDE/>
        <w:bidi w:val="0"/>
        <w:adjustRightInd/>
        <w:spacing w:line="580" w:lineRule="exact"/>
        <w:ind w:firstLine="64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2025年，区财政部门认真落实区人大预算决议和审查意见，实施更加积极的财政政策，全力抓好财政支持高质量发展各项工作，提高政策效能，确保财政平稳运行。</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（一）拓宽财源保障，财政实力不断增强。</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一般公共预算</w:t>
      </w: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收入稳步增长</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加强收入分析调度，做好与税务等部门会商协作，摸清当前经济形势下税源变化，积极探索新的收入增长点。2025年完成一般公共预算收入56294万元，同比增长7.8%。</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二是争取上级资金取得实效。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在进一步加大本级资源挖潜、财力统筹的基础上，积极争取资金支持，获得各类上级转移支付资金142415万元，较去年增长44.9%，增收44124万元，有力缓解了重点领域支出压力。</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三是政府债券有力支撑。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2025年到位政府债券资金56671万元，为全民健身中心、龙脊天路等重大项目建设提供了坚强的资金保障。</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（二）优化支出结构，兜牢“三保”民生底线。</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一是兜牢“三保”底线。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加强支出审核把关，增强库款调控能力，优先保障“三保”，全区“三保”支出81290万元。</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二是兜牢民生支出。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30项省市民生实事，6项区人大代表票决民生实事圆满收官。全年民生支出171068万元，占一般公共预算支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出</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89.9</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其中：教育支出44940万元，占一般公共预算支出23.6%，继续保持第一大支出位置；社会保障和就业支出32667万元，较上年增长7.6%，重点支持了高校毕业生、退役军人等重点群体就业创业，城乡居民基础养老金、城乡低保、困难残疾人生活补贴等提标政策落实到位；卫生健康支出14146万元，较上年增长8.6%，重点支持了基层医疗服务能力提升等重点事项，按规定兑现了城乡居民医保财政补助和基本公共卫生人均补助标准，发放育儿补贴1807万元，0.54万人受益。</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楷体" w:cs="Times New Roman"/>
          <w:b/>
          <w:bCs/>
          <w:color w:val="000000" w:themeColor="text1"/>
          <w:sz w:val="32"/>
          <w:szCs w:val="32"/>
          <w:highlight w:val="none"/>
          <w:lang w:val="en-US" w:eastAsia="zh-CN"/>
          <w14:textFill>
            <w14:solidFill>
              <w14:schemeClr w14:val="tx1"/>
            </w14:solidFill>
          </w14:textFill>
        </w:rPr>
        <w:t>强化重点保障，城乡发展协调并进。</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一是提升文旅产业融合发展。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投入区级资金493万元，支持快乐健身行动、四季村晚、公共文化空间、地锅鸡美食文化节等文旅项目。投入专项债资金3500万元，支持全区全域旅游基础设施建设及重点领域改造提升、全民健身中心建设，促进文旅产业融合发展。</w:t>
      </w:r>
      <w:r>
        <w:rPr>
          <w:rFonts w:hint="default" w:ascii="Times New Roman" w:hAnsi="Times New Roman" w:eastAsia="仿宋_GB2312" w:cs="Times New Roman"/>
          <w:b/>
          <w:bCs/>
          <w:color w:val="000000" w:themeColor="text1"/>
          <w:kern w:val="0"/>
          <w:sz w:val="31"/>
          <w:szCs w:val="31"/>
          <w:lang w:val="en-US" w:eastAsia="zh-CN" w:bidi="ar"/>
          <w14:textFill>
            <w14:solidFill>
              <w14:schemeClr w14:val="tx1"/>
            </w14:solidFill>
          </w14:textFill>
        </w:rPr>
        <w:t>二</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是</w:t>
      </w:r>
      <w:r>
        <w:rPr>
          <w:rFonts w:hint="default" w:ascii="Times New Roman" w:hAnsi="Times New Roman" w:eastAsia="仿宋_GB2312" w:cs="Times New Roman"/>
          <w:b/>
          <w:bCs/>
          <w:color w:val="000000" w:themeColor="text1"/>
          <w:sz w:val="32"/>
          <w:szCs w:val="32"/>
          <w14:textFill>
            <w14:solidFill>
              <w14:schemeClr w14:val="tx1"/>
            </w14:solidFill>
          </w14:textFill>
        </w:rPr>
        <w:t>提升城市功能品质。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投入3718万元用于支持老旧小区改造和城市更新，投入1595万元用于城区污水管网改造和黑臭水体治理等项目建设。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是提升</w:t>
      </w:r>
      <w:r>
        <w:rPr>
          <w:rFonts w:hint="default" w:ascii="Times New Roman" w:hAnsi="Times New Roman" w:eastAsia="仿宋_GB2312" w:cs="Times New Roman"/>
          <w:b/>
          <w:bCs/>
          <w:color w:val="000000" w:themeColor="text1"/>
          <w:sz w:val="32"/>
          <w:szCs w:val="32"/>
          <w14:textFill>
            <w14:solidFill>
              <w14:schemeClr w14:val="tx1"/>
            </w14:solidFill>
          </w14:textFill>
        </w:rPr>
        <w:t>乡村振兴成效</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2025年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农林水支出17311万元，高标准农田、地力保护、农机补贴、农业保险补贴等资金得到有效保障，落实衔接推进乡村振兴补助资金4519万元，巩固了乡村振兴成果。</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（四）促进改革落实，财政绩效不断提升。</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一是零基预算走深走实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财政局印发《关于持续深化零基预算改革暨做好区级2026年预算编制工作的通知》，坚持量入为出，打破支出固化格局，取消原有支出基数，构建该保必保、应省尽省、讲求绩效的资金安排机制，科学编制预算，合理划分项目类别，突出“三保”的同时，编制25项16897万元的年度重点保障事项清单，为烈山高质量发展提供了财力保障。</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二是绩效管理提质提效。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对全区51个部门实现项目支出和整体支出绩效管理全覆盖。选取3个社会关注度高、项目数额较大、政策性强的项目、1个财政政策优先支持的项目，以及1个部门的整体支出进行重点绩效评价。切实将绩效评价结果与预算安排挂钩，2026年对绩效评价得分较低的项目予以压减，压减2204万元，真正把财政资金用在“刀刃”上。</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三是资产管理加力加码。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制定出台《烈山区推进“大资产”统筹管理工作实施方案》，完成对全区51家行政事业单位的资产资金清查，共汇总各类资产713项。选取原米洋服饰厂区这一典型闲置资产作为突破口，成功将其转型为现代农业加工项目。</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四是国企改革推深做实。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牵头起草印发区属企业管理体制、重大事项决策、薪酬制度、基金业务管理等改革文件5份，为源淮公司社会化引进总经理和副总经理各一名，逐步激发区属企业发展活力。</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五是财会监督更加有力。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出台《烈山区财政局关于部门单位落实财会监督工作的通知》，将坚决落实过“紧日子”作为财会监督重点，2025年“三公经费”支出270万元，同比下降29.5%；政府采购金额641万元，同比下降70%。</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过去的一年，全区上下齐心协力、攻坚克难，努力保持了我区财政平稳运行。同时，我们也清醒地认识到，财政运行中还存在很多亟待破解的难题，需要我们投入更多的精力、心力加以解决，主要表现在：财政收入质量不高、“三保”保障压力较大、化解政府债务风险压力加大等问题。</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0" w:firstLineChars="200"/>
        <w:textAlignment w:val="auto"/>
        <w:rPr>
          <w:rFonts w:hint="default" w:ascii="Times New Roman" w:hAnsi="Times New Roman" w:eastAsia="黑体" w:cs="Times New Roman"/>
          <w:b w:val="0"/>
          <w:bCs w:val="0"/>
          <w:color w:val="000000" w:themeColor="text1"/>
          <w:spacing w:val="-6"/>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黑体" w:cs="Times New Roman"/>
          <w:b w:val="0"/>
          <w:bCs w:val="0"/>
          <w:color w:val="000000" w:themeColor="text1"/>
          <w:spacing w:val="-6"/>
          <w:sz w:val="32"/>
          <w:szCs w:val="32"/>
          <w:highlight w:val="none"/>
          <w:lang w:val="en-US" w:eastAsia="zh-CN"/>
          <w14:textFill>
            <w14:solidFill>
              <w14:schemeClr w14:val="tx1"/>
            </w14:solidFill>
          </w14:textFill>
        </w:rPr>
        <w:t>“十四五”时期财政工作完成情况及“十五五”财政工作展望</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（一）“十四五”财政工作回顾</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1.财政实力不断增强。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“十四五”时期，全区一般公共预算收入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245450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万元，较“十三五”时期增长58.5%。全区一般公共预算支出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908441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万元，较“十三五”时期增长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26.9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％。财政收入的稳步增长和财政支出的较高强度，为全区经济社会高质量发展注入了强劲动力。</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2.民生导向更加鲜明。</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“十四五”时期，累计民生支出</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812990</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万元，民生支出占一般公共预算支出89.5%，民生支出中教育支出</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220103</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万元，社会保障和就业支出</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144156</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万元，卫生健康支出</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66392</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万元，教育“两个只增不减”、民生扩面提标等政策全面落实。</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3.财政管理日趋规范。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持续推进零基预算改革，动态编制年度重点保障事项清单，引导资源向重点领域集聚，财政资金更加聚焦于科技创新、产业发展等重点领域。制定《烈山区财政预算绩效评价结果应用管理办法（试用）》，将绩效评价结果作为预算安排的重要依据。制定《烈山区财政局关于部门单位落实财会监督工作的通知》，将财政监督整改结果及整改情况作为内部管理考核、项目决策的重要参考依据，对整改不力的部门核减相关项目预算。制定《烈山区关于加强行政事业单位资产配置管理、政府采购的通知》，落实“框架协议、电子卖场”采购方式，提高了行政事业单位政府采购工作水平。</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4.风险防范有力有效。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面对化解政府债务风险前所未有的压力，积极筹措资金，“十四五”时期债务付息支出38522万元、置换隐性债务10964万元，有效防范了债务风险，促进了经济持续健康发展。2025年末我区地方政府债务限额为431519万元，其中：法定地方政府一般债务限额53382万元，法定地方政府专项债务限额378137万元。2025年末我区法定债务余额为430998万元，其中：法定一般债务余额52861万元，法定专项债务余额378137万元，控制在地方政府法定债务限额之内。</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（二）“十五五”财政发展展望</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1.夯实财政基础。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落实减税降费、培育财源的同时，深化财税联动，积极争取上级资金，争取财政收入年均增长2%，确保财政收入平稳运行。同时，全面盘活行政事业单位闲置资产和存量资金，将其转化为可用财力。坚持“有保有压”，严控一般性支出，将腾出的资金优先用于民生保障、科技创新、乡村振兴、生态环保等重点领域。</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2.确保财政可持续。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严格落实“遏制增量、化解存量”的要求，将“不新增隐性债务”作为铁的纪律。通过盘活资产、压减支出等多渠道化解存量债务。建立常态化监测机制，对基层“三保”、库款保障等进行监管，确保财政运行始终处于安全区间。</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3.加强财政管理。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持续深化零基预算改革，打破基数依赖，推进跨部门资金整合，加强财政资源统筹。全面整合重塑预算项目，健全重点保障事项清单制度。开展项目库清理工作，实施项目全生命周期管理，提升项目与部门职能匹配度。加强绩效运行监控力度，加强财政绩效评价与财会监督的协同，强化日常监控审核。将事前绩效评估实质性嵌入重大政策、项目决策程序。进一步完善区镇财政事权和支出责任划分。健全政府债务管理制度，加强债务监测监管。</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4.深化国资国企改革。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支持国有资本和国有企业做大做强做优，聚焦降负债、降成本、提效益、提能力，持续提升区属国有企业投融资能力和经营性收入。统筹好“放得活”和“管得住”，健全国企现代公司治理机制，完善以现金流、资本收益率为重点的考核评价体系，深化区属企业薪酬制度改革，健全业务监督、综合监督、责任追究“三位一体”的出资人监督体系。</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四、2026年全区财政预算草案</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2026年是“十五五”规划开局之年，坚持以习近平新时代中国特色社会主义思想为指导，全面贯彻落实党的二十大和二十届历次全会精神及中央经济工作会议精神，紧紧围绕党委政府中心工作，坚持以政领财、以财辅政，进一步巩固零基预算改革成果，加大财政资金统筹力度，优化财政支出结构，增强重大战略任务财力保障，坚决落实“党政机关要习惯过紧日子”要求，严控一般性支出，强化预算绩效管理，提高财政资源配置使用效率，防范化解地方政府债务风险，确保财政运行平稳可持续，加强财会监督，严肃财经纪律，硬化预算约束。为建设美丽烈山提供坚强财政保障。</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（一）2026年预算安排基本原则</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2026年预算编制主要坚持以下原则：</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一是综合预算。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树牢“大财政”理念，统筹资金、资产、资源，做大财政蛋糕、做优融资蛋糕、做强资本蛋糕，努力壮大财政“资金池”，提高财政综合保障能力。</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二是零基预算。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深化零基预算管理改革，将零基预算理念贯穿于各领域、各部门的预算编制中，打破支出固化格局，提高政策精准度和有效性。</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三是刚性预算。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严格一般性支出和“三公”经费管理，坚持党政机关习惯过紧日子，大力优化支出结构，强化精准投放，加强对基本民生、重点领域、重大政策的财力保障。</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四是可持续预算。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统筹需要和可能、当前和长远，坚持在发展中保障和改善民生，通过分期滚动安排预算、压减非急需非刚性支出等措施，实现财政持续平稳运行。</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（二）2026年财政预算草案</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1.一般公共预算收支安排情况</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2026年一般公共预算收入计划安排57410万元，较上年预算数增长7.3%，较上年执行数增长2%，加上级补助收入45000万元、调入资金41058万元、地方政府一般债务转贷收入12195万元、上年结转148万元、动用预算稳定调节基金294万元，收入总计156105万元；一般公共预算支出安排137052万元，加上解上级支出5500万元、地方政府一般债务还本支出13553万元，支出总计156105万元，收支平衡。（详见附表1）</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2.政府性基金预算收支安排情况</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2026年政府性基金预算收入计划安排23592万元，其中调入资金11604万元、地方政府专项债务转贷收入2240万元、上年结转9748万元；政府性基金预算支出安排21092万元，加地方政府专项债务还本支出2500万元，支出总计23592万元，收支平衡。（详见附表2）</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3.国有资本经营预算收支安排情况</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2026年国有资本经营预算收入计划安排1690万元，加上年结转356万元，收入总计2046万元；国有资本经营预算支出安排1201万元，加调出资金845万元，支出总计2046万元，收支平衡。（详见附表3）</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4.政府重点保障事项资金安排情况</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2026年政府重点保障事项安排资金20497万元，其中重点保障支出(基本民生)项目资金16897万元，扶持企业发展项目资金3600万元。（详见附表4）</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5.政府性债务偿还资金安排情况</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2026年应偿还到期债务本息28866万元，其中偿还到期债务本金16053万元（一般债务本金13553万元，专项债务本金2500万元）；偿还债务利息12813万元（一般债务利息1469万元、专项债务利息11344万元）。债务本金14435万元，通过申请发行再融资债券资金偿还；债务本金1618万元和债务利息12813万元通过安排区级资金偿还，确保实现应偿尽偿。</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五、2026年财政重点工作</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为圆满完成2026年预算任务，保障财政收支平衡，服务经济社会发展，我们将着力抓好以下工作：</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（一）加强财政资源统筹。</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一是强化预期管理。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根据初步摸排，结合宏观经济环境，综合预测2026年一般公共预算收入增长2%。建立月调度、季分析的收入预期管理工作机制，确保预期目标圆满完成。</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二是抢抓政策机遇。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央经济工作会议上做出了“继续实施更加积极的财政政策”和“重视解决地方财政困难，兜牢基层‘三保’底线”的安排部署，估计国家在2026年还会出台相应政策，财政部门将主动加强与上级部门的沟通协调，争取第一时间获取政策信息，全力争取政策、资金落地烈山。</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三是做好开源文章。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抓住新一轮财税体制改革，增加地方自主财力的机遇，向市争取提高区内大型企业税收分成、新落地国企财政税收属地化管理等政策支持，增加区内可用财力。财税部门协调配合，依法加强税收征管，做到应收尽收。</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四是优化资产配置。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紧密围绕全区防范化解债务风险、保障重大项目建设等中心任务，遵循市场化、法治化原则，计划将一批优质经营性资产，经规范程序整合注入区属企业，从而增强区属企业的资产实力和信用评级，为保障重点领域投资、维护区域经济金融稳定提供了实质性支撑。</w:t>
      </w:r>
    </w:p>
    <w:p>
      <w:pPr>
        <w:keepNext w:val="0"/>
        <w:keepLines w:val="0"/>
        <w:pageBreakBefore w:val="0"/>
        <w:numPr>
          <w:ilvl w:val="0"/>
          <w:numId w:val="0"/>
        </w:numPr>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（二）强化重大战略保障。</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一是支持保障各项民生支出。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2026年在全力做好省市基本民生事项保障的基础上，安排资金3705万元用于保障区级民生实事落实。</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二是支持加快现代化产业体系建设。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通过政府引导基金方式，强化要素保障，指导区属企业组建4只产业发展基金，支持新能源等主导产业发展；拓展“园区贷”“人才贷”等金融服务，让“一分钱使出十分的劲”成为可能。</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三是支持教育、科技、人才一体化发展。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实施“投资于人”战略，2026年预算安排教育支出37272万元、科技支出3756万元、人才就业补贴101万元，重点支持科教融汇、产教融合。</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四是支持全方位扩大内需。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2026年安排720万元，用于发放消费券，撬动设备更新和耐用消费品换代。积极争取专项债券资金，支持开发高品质文旅产品，打造服务消费新场景，加快特色商业街区建设。</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五是支持乡村振兴。</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2026年安排区级配套资金1243万元，统筹推进乡村振兴、高标准农田建设、粮食安全保障、和美乡村建设。继续推进“农业保险+”改革和党建引领信用村工作，发挥“艾草贷”、“红火贷”、“苹果贷”等村级信用专属金融产品作用，引导金融机构开发“四季榴园”地锅鸡专项信贷产品，持续聚焦新型农业经营主体，协调产业链发展，推动信贷资金向乡村振兴领域倾斜。</w:t>
      </w:r>
    </w:p>
    <w:p>
      <w:pPr>
        <w:keepNext w:val="0"/>
        <w:keepLines w:val="0"/>
        <w:pageBreakBefore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（三）提升财政管理水平。</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一是加强预算绩效管理</w:t>
      </w:r>
      <w:r>
        <w:rPr>
          <w:rFonts w:hint="default" w:ascii="Times New Roman" w:hAnsi="Times New Roman" w:eastAsia="仿宋_GB2312" w:cs="Times New Roman"/>
          <w:i w:val="0"/>
          <w:iCs w:val="0"/>
          <w:caps w:val="0"/>
          <w:color w:val="000000" w:themeColor="text1"/>
          <w:spacing w:val="8"/>
          <w:sz w:val="25"/>
          <w:szCs w:val="25"/>
          <w:shd w:val="clear"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落实</w:t>
      </w:r>
      <w:r>
        <w:rPr>
          <w:rFonts w:hint="default" w:ascii="Times New Roman" w:hAnsi="Times New Roman" w:eastAsia="仿宋_GB2312" w:cs="Times New Roman"/>
          <w:color w:val="000000" w:themeColor="text1"/>
          <w:sz w:val="32"/>
          <w:szCs w:val="32"/>
          <w14:textFill>
            <w14:solidFill>
              <w14:schemeClr w14:val="tx1"/>
            </w14:solidFill>
          </w14:textFill>
        </w:rPr>
        <w:t>绩效评价结果与预算安排、政策调整的实质性挂钩机制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对低效、无效的项目坚决削减或取消预算，对高效项目予以重点保障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二是加强债务管理。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根据全区经济增长资金需求及偿债能力的预测分析，合理确定举债规模和投资重点。优化债务重组和置换办法，多措并举化解地方政府融资平台经营性债务风险。</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三是加强国企与金融监管。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以新制定的区属企业改革文件落实落地为抓手，规范企业融资、投资、项目建设等各个环节的运作，促进区属企业营造高效、安全的生产经营理念。</w:t>
      </w:r>
    </w:p>
    <w:p>
      <w:pPr>
        <w:keepNext w:val="0"/>
        <w:keepLines w:val="0"/>
        <w:pageBreakBefore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3" w:firstLineChars="200"/>
        <w:textAlignment w:val="auto"/>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t>（四）防范化解重大风险。</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一是严防“三保”风险。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牢固树立底线思维，坚持“三保”支出在财政支出中的绝对优先地位，全力保障，确保“三保”不出问题。</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二是严防债务风险。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合理安排预算收支，积极稳妥化解政府债务，定期向区人大常委会议报告政府债务管理情况和债务风险管控情况，确保政府债务风险不出问题。</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三是严防国资国企风险。</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在加大对区属国有企业扶持力度（注入资本金、装入资产、做大现金流等）的同时，鼓励企业通过加强低效闲置资产处置、非主业非优势业务退让等举措，进一步提高企业资产质量和运行效率；督促企业建立健全债务风险监测预警机制，完善重点债务指标监测台账，实行动态监测，真正能做到早识别、早预警、早应对，确保国资国企运行稳中有进，不出问题。</w:t>
      </w:r>
    </w:p>
    <w:p>
      <w:pPr>
        <w:keepNext w:val="0"/>
        <w:keepLines w:val="0"/>
        <w:pageBreakBefore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位代表，一分部署，九分落实。我们将在区委、区政府坚强领导下，切实增强法治意识、代表意识、群众意识，自觉接受区人大及其常委会监督、认真听取区政协意见建议，充分听取代表、委员意见，真抓实干、感恩奋进，扎实做好财政各项工作，为建设美丽烈山作出新的更大贡献！</w:t>
      </w:r>
    </w:p>
    <w:p>
      <w:pPr>
        <w:pBdr>
          <w:top w:val="none" w:color="000000" w:sz="0" w:space="0"/>
          <w:left w:val="none" w:color="000000" w:sz="0" w:space="0"/>
          <w:bottom w:val="none" w:color="000000" w:sz="0" w:space="31"/>
          <w:right w:val="none" w:color="000000" w:sz="0" w:space="2"/>
        </w:pBdr>
        <w:autoSpaceDN w:val="0"/>
        <w:snapToGrid w:val="0"/>
        <w:spacing w:line="600" w:lineRule="exact"/>
        <w:ind w:firstLine="640" w:firstLineChars="200"/>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3420" w:firstLineChars="950"/>
        <w:textAlignment w:val="auto"/>
        <w:rPr>
          <w:rFonts w:hint="default" w:ascii="Times New Roman" w:hAnsi="Times New Roman" w:eastAsia="方正小标宋简体" w:cs="Times New Roman"/>
          <w:color w:val="000000" w:themeColor="text1"/>
          <w:sz w:val="36"/>
          <w:szCs w:val="36"/>
          <w14:textFill>
            <w14:solidFill>
              <w14:schemeClr w14:val="tx1"/>
            </w14:solidFill>
          </w14:textFill>
        </w:rPr>
      </w:pPr>
      <w:r>
        <w:rPr>
          <w:rFonts w:hint="default" w:ascii="Times New Roman" w:hAnsi="Times New Roman" w:eastAsia="方正小标宋简体" w:cs="Times New Roman"/>
          <w:color w:val="000000" w:themeColor="text1"/>
          <w:sz w:val="36"/>
          <w:szCs w:val="36"/>
          <w14:textFill>
            <w14:solidFill>
              <w14:schemeClr w14:val="tx1"/>
            </w14:solidFill>
          </w14:textFill>
        </w:rPr>
        <w:t>名词解释</w:t>
      </w:r>
    </w:p>
    <w:p>
      <w:pPr>
        <w:keepNext w:val="0"/>
        <w:keepLines w:val="0"/>
        <w:pageBreakBefore w:val="0"/>
        <w:widowControl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1.一般公共预算：</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是对以税收为主体的财政收入，安排用于保障和改善民生、推动经济社会发展、维护国家安全、维持国家机构正常运转等方面的收支预算。</w:t>
      </w:r>
    </w:p>
    <w:p>
      <w:pPr>
        <w:keepNext w:val="0"/>
        <w:keepLines w:val="0"/>
        <w:pageBreakBefore w:val="0"/>
        <w:widowControl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2.政府性基金预算：</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是指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keepNext w:val="0"/>
        <w:keepLines w:val="0"/>
        <w:pageBreakBefore w:val="0"/>
        <w:widowControl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3.国有资本经营预算：</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是国家以所有者身份对国有资本实行存量调整和增量分配而发生的各项收支预算，是政府预算的重要组成部分。</w:t>
      </w:r>
    </w:p>
    <w:p>
      <w:pPr>
        <w:keepNext w:val="0"/>
        <w:keepLines w:val="0"/>
        <w:pageBreakBefore w:val="0"/>
        <w:widowControl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4.转移支付：</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指中央政府按照有关法律法规、财政体制和政策规定，给予地方政府的补助资金。现行中央对地方转移支付主要包括一般性转移支付和专项转移支付。</w:t>
      </w:r>
    </w:p>
    <w:p>
      <w:pPr>
        <w:keepNext w:val="0"/>
        <w:keepLines w:val="0"/>
        <w:pageBreakBefore w:val="0"/>
        <w:widowControl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5.调入资金：</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指为了平衡公共财政预算收支，从预算外资金结余调入预算的资金，以及按规定从其他渠道调入的资金。按照相关规定，可从财政专户结余、政府性基金结余或其他渠道调入资金</w:t>
      </w:r>
    </w:p>
    <w:p>
      <w:pPr>
        <w:keepNext w:val="0"/>
        <w:keepLines w:val="0"/>
        <w:pageBreakBefore w:val="0"/>
        <w:widowControl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6.结余和结转：</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结余是指财政收入大于财政支出的部分，它分为滚存结余和净结余，其中滚存结余等于净结余加上结转。结转是指结余中有专项用途、需在下年继续安排使用的支出部分。</w:t>
      </w:r>
    </w:p>
    <w:p>
      <w:pPr>
        <w:keepNext w:val="0"/>
        <w:keepLines w:val="0"/>
        <w:pageBreakBefore w:val="0"/>
        <w:widowControl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7.一般债务：</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是指列入一般公共预算用于公益性事业发展的一般债券、地方政府负有偿还责任的外国政府和国际经济组织贷款转贷债务。</w:t>
      </w:r>
    </w:p>
    <w:p>
      <w:pPr>
        <w:keepNext w:val="0"/>
        <w:keepLines w:val="0"/>
        <w:pageBreakBefore w:val="0"/>
        <w:widowControl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8.专项债务：</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是指列入政府性基金预算用于有收益的公益性事业发展的专项债券。</w:t>
      </w:r>
    </w:p>
    <w:p>
      <w:pPr>
        <w:keepNext w:val="0"/>
        <w:keepLines w:val="0"/>
        <w:pageBreakBefore w:val="0"/>
        <w:widowControl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9.民生支出：</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是一般公共预算支出中的教育支出、科学技术支出、文化旅游体育与传媒支出、医疗卫生支出、社会保障支出、节能环保支出、城乡社区支出、农林水支出、交通运输支出、商业服务业支出、国土海洋气象支出、住房保障支出和粮油物资储备支出。</w:t>
      </w:r>
    </w:p>
    <w:p>
      <w:pPr>
        <w:keepNext w:val="0"/>
        <w:keepLines w:val="0"/>
        <w:pageBreakBefore w:val="0"/>
        <w:widowControl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10.预算绩效管理：</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是政府绩效管理的重要组成部分，是一种以支出结果为导向的预算管理模式。它强化政府预算为民服务的理念，强调预算支出的责任和效率，要求在预算编制、执行、监督的全过程中更加关注预算资金的产出和结果，要求政府部门不断改进服务水平和质量，花尽量少的资金、办尽量多的实事，向社会公众提供更多、更好的公共产品和公共服务，使政府行为更加务实、高效。</w:t>
      </w:r>
    </w:p>
    <w:p>
      <w:pPr>
        <w:keepNext w:val="0"/>
        <w:keepLines w:val="0"/>
        <w:pageBreakBefore w:val="0"/>
        <w:widowControl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11.政府采购：</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指各级国家机关和实行预算管理的政党组织、社会团体、事业单位，将过去由财政部门供给经费，再由各个单位分散购买，转变为在政府的监督和管理下，按照法定的采购方式和采购程序，实行集中采购和分散采购相结合的管理模式，购买所需货物、工程和服务。</w:t>
      </w:r>
    </w:p>
    <w:p>
      <w:pPr>
        <w:keepNext w:val="0"/>
        <w:keepLines w:val="0"/>
        <w:pageBreakBefore w:val="0"/>
        <w:widowControl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12.预算管理一体化：</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以统一预算管理规则为核心，将统一的管理规则嵌入信息系统，提高项目储备、预算编审、预算调整和调剂、资金支付、会计核算、决算和报告等工作的标准化、自动化水平，实现对预算管理全流程的动态反映和有效控制，保证各级预算管理规范高效。</w:t>
      </w:r>
    </w:p>
    <w:p>
      <w:pPr>
        <w:keepNext w:val="0"/>
        <w:keepLines w:val="0"/>
        <w:pageBreakBefore w:val="0"/>
        <w:widowControl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13.零基预算：</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创新预算编制方式。取消支出基数，所有预算支出均以零为基点，根据不同类型支出分类编制预算。</w:t>
      </w:r>
    </w:p>
    <w:p>
      <w:pPr>
        <w:keepNext w:val="0"/>
        <w:keepLines w:val="0"/>
        <w:pageBreakBefore w:val="0"/>
        <w:widowControl w:val="0"/>
        <w:pBdr>
          <w:top w:val="none" w:color="000000" w:sz="0" w:space="0"/>
          <w:left w:val="none" w:color="000000" w:sz="0" w:space="0"/>
          <w:bottom w:val="none" w:color="000000" w:sz="0" w:space="31"/>
          <w:right w:val="none" w:color="000000" w:sz="0" w:space="2"/>
        </w:pBdr>
        <w:kinsoku/>
        <w:wordWrap/>
        <w:overflowPunct/>
        <w:topLinePunct w:val="0"/>
        <w:autoSpaceDE/>
        <w:autoSpaceDN w:val="0"/>
        <w:bidi w:val="0"/>
        <w:adjustRightInd/>
        <w:snapToGrid w:val="0"/>
        <w:spacing w:line="500" w:lineRule="exact"/>
        <w:ind w:firstLine="562"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sectPr>
          <w:pgSz w:w="11906" w:h="16838"/>
          <w:pgMar w:top="1984" w:right="1531" w:bottom="1814" w:left="1531" w:header="851" w:footer="1587" w:gutter="0"/>
          <w:cols w:space="0" w:num="1"/>
          <w:rtlGutter w:val="0"/>
          <w:docGrid w:type="lines" w:linePitch="312" w:charSpace="0"/>
        </w:sectPr>
      </w:pPr>
      <w:r>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t>14.政府年度重点保障事项清单：</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主要包括公共服务项目清单、产业扶持项目清单和重点建设项目清单。公共服务项目清单主要包括教育、卫生健康、养老托幼、社会救助、文化体育等领域重大公共服务事项。产业扶持项目清单主要是根据国民经济发展规划确定的产业发展方向，需要重点扶持的关键领域、关键环节项目，重点是三次产业高质量协同发展领域重大项目。重点建设项目清单主要包括交通、水利、农业等领域基础设施建设项目，以及数据中心等重大信息化建设项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t>表1</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val="0"/>
          <w:bCs w:val="0"/>
          <w:i w:val="0"/>
          <w:iCs w:val="0"/>
          <w:color w:val="000000" w:themeColor="text1"/>
          <w:kern w:val="0"/>
          <w:sz w:val="36"/>
          <w:szCs w:val="36"/>
          <w:u w:val="none"/>
          <w:lang w:val="en-US" w:eastAsia="zh-CN" w:bidi="ar"/>
          <w14:textFill>
            <w14:solidFill>
              <w14:schemeClr w14:val="tx1"/>
            </w14:solidFill>
          </w14:textFill>
        </w:rPr>
      </w:pPr>
      <w:r>
        <w:rPr>
          <w:rFonts w:hint="default" w:ascii="Times New Roman" w:hAnsi="Times New Roman" w:eastAsia="方正小标宋简体" w:cs="Times New Roman"/>
          <w:b w:val="0"/>
          <w:bCs w:val="0"/>
          <w:i w:val="0"/>
          <w:iCs w:val="0"/>
          <w:color w:val="000000" w:themeColor="text1"/>
          <w:kern w:val="0"/>
          <w:sz w:val="36"/>
          <w:szCs w:val="36"/>
          <w:u w:val="none"/>
          <w:lang w:val="en-US" w:eastAsia="zh-CN" w:bidi="ar"/>
          <w14:textFill>
            <w14:solidFill>
              <w14:schemeClr w14:val="tx1"/>
            </w14:solidFill>
          </w14:textFill>
        </w:rPr>
        <w:t>2026年一般公共预算收支平衡表</w:t>
      </w:r>
    </w:p>
    <w:p>
      <w:pPr>
        <w:jc w:val="righ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单位：万元</w:t>
      </w:r>
    </w:p>
    <w:tbl>
      <w:tblPr>
        <w:tblStyle w:val="12"/>
        <w:tblW w:w="1486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98"/>
        <w:gridCol w:w="1024"/>
        <w:gridCol w:w="1050"/>
        <w:gridCol w:w="1200"/>
        <w:gridCol w:w="3150"/>
        <w:gridCol w:w="1065"/>
        <w:gridCol w:w="1020"/>
        <w:gridCol w:w="1140"/>
        <w:gridCol w:w="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0" w:hRule="atLeast"/>
          <w:jc w:val="center"/>
        </w:trPr>
        <w:tc>
          <w:tcPr>
            <w:tcW w:w="7772"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收入</w:t>
            </w:r>
          </w:p>
        </w:tc>
        <w:tc>
          <w:tcPr>
            <w:tcW w:w="6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支出</w:t>
            </w:r>
          </w:p>
        </w:tc>
        <w:tc>
          <w:tcPr>
            <w:tcW w:w="7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jc w:val="center"/>
        </w:trPr>
        <w:tc>
          <w:tcPr>
            <w:tcW w:w="4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上年预算数</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预算数</w:t>
            </w:r>
          </w:p>
        </w:tc>
        <w:tc>
          <w:tcPr>
            <w:tcW w:w="31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上年预算数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预算数</w:t>
            </w:r>
          </w:p>
        </w:tc>
        <w:tc>
          <w:tcPr>
            <w:tcW w:w="72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jc w:val="center"/>
        </w:trPr>
        <w:tc>
          <w:tcPr>
            <w:tcW w:w="4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金额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为上年预算数的%</w:t>
            </w:r>
          </w:p>
        </w:tc>
        <w:tc>
          <w:tcPr>
            <w:tcW w:w="31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金额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为上年预算数的%</w:t>
            </w:r>
          </w:p>
        </w:tc>
        <w:tc>
          <w:tcPr>
            <w:tcW w:w="72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本级收入合计</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53500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57410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107.3%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本级支出合计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137237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137052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99.9%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转移性收入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90111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98695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109.5%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转移性支出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6374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19053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298.9%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上级补助收入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45000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上解上级支出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5836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返还性收入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体制上解支出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所得税基数返还收入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专项上解支出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5836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94.2%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一般性转移支付收入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45000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iCs/>
                <w:color w:val="000000" w:themeColor="text1"/>
                <w:sz w:val="22"/>
                <w:szCs w:val="22"/>
                <w:u w:val="none"/>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体制补助收入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45000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107.1%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iCs/>
                <w:color w:val="000000" w:themeColor="text1"/>
                <w:sz w:val="22"/>
                <w:szCs w:val="22"/>
                <w:u w:val="none"/>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均衡性转移支付收入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iCs/>
                <w:color w:val="000000" w:themeColor="text1"/>
                <w:sz w:val="22"/>
                <w:szCs w:val="22"/>
                <w:u w:val="none"/>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县级基本财力保障机制奖补资金收入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default" w:ascii="Times New Roman" w:hAnsi="Times New Roman" w:eastAsia="宋体" w:cs="Times New Roman"/>
                <w:i/>
                <w:iCs/>
                <w:color w:val="000000" w:themeColor="text1"/>
                <w:sz w:val="22"/>
                <w:szCs w:val="22"/>
                <w:u w:val="none"/>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结算补助收入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专项转移支付收入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上年结余收入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1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65"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20"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调入资金</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47627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41058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86.2%</w:t>
            </w:r>
          </w:p>
        </w:tc>
        <w:tc>
          <w:tcPr>
            <w:tcW w:w="31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补助下级支出</w:t>
            </w:r>
          </w:p>
        </w:tc>
        <w:tc>
          <w:tcPr>
            <w:tcW w:w="1065"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20"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从政府性基金预算调入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调出资金</w:t>
            </w:r>
          </w:p>
        </w:tc>
        <w:tc>
          <w:tcPr>
            <w:tcW w:w="10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从国有资本经营预算调入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安排预算稳定调节基金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从其他资金调入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46787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40213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补充预算周转金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地方政府一般债务收入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地方政府一般债务还本支出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538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13553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2519.1%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地方政府一般债务转贷收入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484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12195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2519.6%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地方政府一般债务转贷支出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动用预算稳定调节基金</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294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计划单列市上解省支出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省补助计划单列市收入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省补助计划单列市支出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计划单列市上解省收入</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年终结余</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 w:hRule="atLeast"/>
          <w:jc w:val="center"/>
        </w:trPr>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收入总计</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143611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156105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108.7%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支出总计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143611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156105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108.7%</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bl>
    <w:p>
      <w:pPr>
        <w:rPr>
          <w:rFonts w:hint="default" w:ascii="Times New Roman" w:hAnsi="Times New Roman" w:cs="Times New Roman"/>
          <w:color w:val="000000" w:themeColor="text1"/>
          <w:lang w:val="en-US" w:eastAsia="zh-CN"/>
          <w14:textFill>
            <w14:solidFill>
              <w14:schemeClr w14:val="tx1"/>
            </w14:solidFill>
          </w14:textFill>
        </w:rPr>
        <w:sectPr>
          <w:pgSz w:w="16838" w:h="11906" w:orient="landscape"/>
          <w:pgMar w:top="1417" w:right="1417" w:bottom="1304" w:left="1417" w:header="851" w:footer="1587" w:gutter="0"/>
          <w:cols w:space="0" w:num="1"/>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t>表1-1</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Times New Roman" w:hAnsi="Times New Roman" w:eastAsia="方正小标宋简体" w:cs="Times New Roman"/>
          <w:b w:val="0"/>
          <w:bCs w:val="0"/>
          <w:i w:val="0"/>
          <w:iCs w:val="0"/>
          <w:color w:val="000000" w:themeColor="text1"/>
          <w:kern w:val="0"/>
          <w:sz w:val="36"/>
          <w:szCs w:val="36"/>
          <w:u w:val="none"/>
          <w:lang w:val="en-US" w:eastAsia="zh-CN" w:bidi="ar"/>
          <w14:textFill>
            <w14:solidFill>
              <w14:schemeClr w14:val="tx1"/>
            </w14:solidFill>
          </w14:textFill>
        </w:rPr>
      </w:pPr>
      <w:r>
        <w:rPr>
          <w:rFonts w:hint="default" w:ascii="Times New Roman" w:hAnsi="Times New Roman" w:eastAsia="方正小标宋简体" w:cs="Times New Roman"/>
          <w:b w:val="0"/>
          <w:bCs w:val="0"/>
          <w:i w:val="0"/>
          <w:iCs w:val="0"/>
          <w:color w:val="000000" w:themeColor="text1"/>
          <w:kern w:val="0"/>
          <w:sz w:val="36"/>
          <w:szCs w:val="36"/>
          <w:u w:val="none"/>
          <w:lang w:val="en-US" w:eastAsia="zh-CN" w:bidi="ar"/>
          <w14:textFill>
            <w14:solidFill>
              <w14:schemeClr w14:val="tx1"/>
            </w14:solidFill>
          </w14:textFill>
        </w:rPr>
        <w:t>2026年一般公共预算收入明细表</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righ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单位：万元</w:t>
      </w:r>
    </w:p>
    <w:tbl>
      <w:tblPr>
        <w:tblStyle w:val="12"/>
        <w:tblW w:w="926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42"/>
        <w:gridCol w:w="1331"/>
        <w:gridCol w:w="1159"/>
        <w:gridCol w:w="2200"/>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jc w:val="center"/>
        </w:trPr>
        <w:tc>
          <w:tcPr>
            <w:tcW w:w="3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预算科目</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上年预算数</w:t>
            </w:r>
          </w:p>
        </w:tc>
        <w:tc>
          <w:tcPr>
            <w:tcW w:w="3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预算数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5" w:hRule="atLeast"/>
          <w:jc w:val="center"/>
        </w:trPr>
        <w:tc>
          <w:tcPr>
            <w:tcW w:w="3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金额</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为上年预算数的%</w:t>
            </w:r>
          </w:p>
        </w:tc>
        <w:tc>
          <w:tcPr>
            <w:tcW w:w="836" w:type="dxa"/>
            <w:tcBorders>
              <w:top w:val="single" w:color="000000" w:sz="4" w:space="0"/>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一、税收收入</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26500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27310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103.1%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增值税</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13020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100.2%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企业所得税</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2200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1690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76.8%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个人所得税</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260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115.4%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资源税</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2900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2800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96.6%</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城市维护建设税</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1500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1600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106.7%</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房产税</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1600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1800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112.5%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印花税</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1000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111.1%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城镇土地使用税</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4000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133.3%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土地增值税</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1070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1020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95.3%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车船税</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耕地占用税</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契税</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烟叶税</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环境保护税</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114.3%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其他税收收入</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二、非税收入</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27000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30100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专项收入</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800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行政事业性收费收入</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66.7%</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罚没收入</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780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500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64.1%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国有资本经营收入</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国有资源(资产)有偿使用收入</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25000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28500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114.0%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其他收入</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83.3%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 年 收 入 合 计</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53500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57410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107.3%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bl>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br w:type="page"/>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t>表1-2</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Times New Roman" w:hAnsi="Times New Roman" w:eastAsia="方正小标宋简体" w:cs="Times New Roman"/>
          <w:b w:val="0"/>
          <w:bCs w:val="0"/>
          <w:i w:val="0"/>
          <w:iCs w:val="0"/>
          <w:color w:val="000000" w:themeColor="text1"/>
          <w:kern w:val="0"/>
          <w:sz w:val="36"/>
          <w:szCs w:val="36"/>
          <w:u w:val="none"/>
          <w:lang w:val="en-US" w:eastAsia="zh-CN" w:bidi="ar"/>
          <w14:textFill>
            <w14:solidFill>
              <w14:schemeClr w14:val="tx1"/>
            </w14:solidFill>
          </w14:textFill>
        </w:rPr>
      </w:pPr>
      <w:r>
        <w:rPr>
          <w:rFonts w:hint="default" w:ascii="Times New Roman" w:hAnsi="Times New Roman" w:eastAsia="方正小标宋简体" w:cs="Times New Roman"/>
          <w:b w:val="0"/>
          <w:bCs w:val="0"/>
          <w:i w:val="0"/>
          <w:iCs w:val="0"/>
          <w:color w:val="000000" w:themeColor="text1"/>
          <w:kern w:val="0"/>
          <w:sz w:val="36"/>
          <w:szCs w:val="36"/>
          <w:u w:val="none"/>
          <w:lang w:val="en-US" w:eastAsia="zh-CN" w:bidi="ar"/>
          <w14:textFill>
            <w14:solidFill>
              <w14:schemeClr w14:val="tx1"/>
            </w14:solidFill>
          </w14:textFill>
        </w:rPr>
        <w:t>2026年一般公共预算支出明细表（功能科目分类）</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righ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单位：万元</w:t>
      </w:r>
    </w:p>
    <w:tbl>
      <w:tblPr>
        <w:tblStyle w:val="12"/>
        <w:tblW w:w="97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26"/>
        <w:gridCol w:w="1586"/>
        <w:gridCol w:w="1393"/>
        <w:gridCol w:w="2172"/>
        <w:gridCol w:w="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3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预算科目</w:t>
            </w:r>
          </w:p>
        </w:tc>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上年预算数</w:t>
            </w:r>
          </w:p>
        </w:tc>
        <w:tc>
          <w:tcPr>
            <w:tcW w:w="3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预算数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3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金额</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为上年预算数的%</w:t>
            </w:r>
          </w:p>
        </w:tc>
        <w:tc>
          <w:tcPr>
            <w:tcW w:w="923" w:type="dxa"/>
            <w:tcBorders>
              <w:top w:val="single" w:color="000000" w:sz="4" w:space="0"/>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一、一般公共服务支出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16925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16928</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二、外交支出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三、国防支出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210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210</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四、公共安全支出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1394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1464</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105.0%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五、教育支出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37087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37272</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100.5%</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六、科学技术支出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5142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3756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73.0%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1365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1451</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106.3%</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28705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29905</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104.2%</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九、卫生健康支出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7728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10107</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130.8%</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十、节能环保支出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1460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1439</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98.6%</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十一、城乡社区支出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13408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12239</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91.3%</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十二、农林水支出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10425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8374</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80.3%</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十三、交通运输支出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十六、金融支出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601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601</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十九、住房保障支出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8528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9152</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107.3%</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二十一、灾害防治及应急管理支出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1204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1285</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106.7%</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二十二、预备费</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1605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1400</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87.2%</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二十三、其他支出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二十四、债务付息支出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1450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1469</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101.3%</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其中:地方政府一般债券付息支出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1450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1469</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101.3%</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二十五、债务发行费用支出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 年 支 出 合 计</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137237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137052</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99.9%</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bl>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t>表1-3</w:t>
      </w:r>
    </w:p>
    <w:p>
      <w:pPr>
        <w:rPr>
          <w:rFonts w:hint="default" w:ascii="Times New Roman" w:hAnsi="Times New Roman" w:cs="Times New Roman"/>
          <w:color w:val="000000" w:themeColor="text1"/>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Times New Roman" w:hAnsi="Times New Roman" w:eastAsia="方正小标宋简体" w:cs="Times New Roman"/>
          <w:b w:val="0"/>
          <w:bCs w:val="0"/>
          <w:i w:val="0"/>
          <w:iCs w:val="0"/>
          <w:color w:val="000000" w:themeColor="text1"/>
          <w:kern w:val="0"/>
          <w:sz w:val="36"/>
          <w:szCs w:val="36"/>
          <w:u w:val="none"/>
          <w:lang w:val="en-US" w:eastAsia="zh-CN" w:bidi="ar"/>
          <w14:textFill>
            <w14:solidFill>
              <w14:schemeClr w14:val="tx1"/>
            </w14:solidFill>
          </w14:textFill>
        </w:rPr>
      </w:pPr>
      <w:r>
        <w:rPr>
          <w:rFonts w:hint="default" w:ascii="Times New Roman" w:hAnsi="Times New Roman" w:eastAsia="方正小标宋简体" w:cs="Times New Roman"/>
          <w:b w:val="0"/>
          <w:bCs w:val="0"/>
          <w:i w:val="0"/>
          <w:iCs w:val="0"/>
          <w:color w:val="000000" w:themeColor="text1"/>
          <w:kern w:val="0"/>
          <w:sz w:val="36"/>
          <w:szCs w:val="36"/>
          <w:u w:val="none"/>
          <w:lang w:val="en-US" w:eastAsia="zh-CN" w:bidi="ar"/>
          <w14:textFill>
            <w14:solidFill>
              <w14:schemeClr w14:val="tx1"/>
            </w14:solidFill>
          </w14:textFill>
        </w:rPr>
        <w:t>2026年一般公共预算支出明细表（部门经济科目分类）</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right"/>
        <w:textAlignment w:val="auto"/>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单位：万元</w:t>
      </w:r>
    </w:p>
    <w:tbl>
      <w:tblPr>
        <w:tblStyle w:val="12"/>
        <w:tblW w:w="91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30"/>
        <w:gridCol w:w="1350"/>
        <w:gridCol w:w="1275"/>
        <w:gridCol w:w="2160"/>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jc w:val="center"/>
        </w:trPr>
        <w:tc>
          <w:tcPr>
            <w:tcW w:w="2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上年预算数</w:t>
            </w:r>
          </w:p>
        </w:tc>
        <w:tc>
          <w:tcPr>
            <w:tcW w:w="3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预算数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5" w:hRule="atLeast"/>
          <w:jc w:val="center"/>
        </w:trPr>
        <w:tc>
          <w:tcPr>
            <w:tcW w:w="2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金额</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为上年预算数的%</w:t>
            </w:r>
          </w:p>
        </w:tc>
        <w:tc>
          <w:tcPr>
            <w:tcW w:w="1395" w:type="dxa"/>
            <w:tcBorders>
              <w:top w:val="single" w:color="000000" w:sz="4" w:space="0"/>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一般公共预算支出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137237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137052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99.9%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jc w:val="center"/>
        </w:trPr>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一、工资福利支出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64428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67568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104.9%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二、商品和服务支出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27051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27360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jc w:val="center"/>
        </w:trPr>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三、对个人和家庭的补助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22296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22324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100.1%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jc w:val="center"/>
        </w:trPr>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四、债务利息及费用支出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1450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1468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五、资本性支出（基本建设）</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六、资本性支出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7354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4223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57.4%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jc w:val="center"/>
        </w:trPr>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七、对企业补助（基本建设）</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jc w:val="center"/>
        </w:trPr>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八、对企业补助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6326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5152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81.4%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jc w:val="center"/>
        </w:trPr>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九、对社会保障基金补助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8332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8957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107.5%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十、其他支出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bl>
    <w:p>
      <w:pPr>
        <w:rPr>
          <w:rFonts w:hint="default" w:ascii="Times New Roman" w:hAnsi="Times New Roman" w:cs="Times New Roman"/>
          <w:color w:val="000000" w:themeColor="text1"/>
          <w:lang w:val="en-US" w:eastAsia="zh-CN"/>
          <w14:textFill>
            <w14:solidFill>
              <w14:schemeClr w14:val="tx1"/>
            </w14:solidFill>
          </w14:textFill>
        </w:rPr>
      </w:pPr>
    </w:p>
    <w:p>
      <w:pPr>
        <w:rPr>
          <w:rFonts w:hint="default" w:ascii="Times New Roman" w:hAnsi="Times New Roman" w:cs="Times New Roman"/>
          <w:color w:val="000000" w:themeColor="text1"/>
          <w:lang w:val="en-US" w:eastAsia="zh-CN"/>
          <w14:textFill>
            <w14:solidFill>
              <w14:schemeClr w14:val="tx1"/>
            </w14:solidFill>
          </w14:textFill>
        </w:rPr>
        <w:sectPr>
          <w:pgSz w:w="11906" w:h="16838"/>
          <w:pgMar w:top="1984" w:right="1531" w:bottom="1814" w:left="1531" w:header="851" w:footer="1587" w:gutter="0"/>
          <w:cols w:space="0" w:num="1"/>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t>表2</w:t>
      </w:r>
    </w:p>
    <w:p>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jc w:val="center"/>
        <w:textAlignment w:val="auto"/>
        <w:rPr>
          <w:rFonts w:hint="default" w:ascii="Times New Roman" w:hAnsi="Times New Roman" w:eastAsia="方正小标宋简体" w:cs="Times New Roman"/>
          <w:b w:val="0"/>
          <w:bCs w:val="0"/>
          <w:i w:val="0"/>
          <w:iCs w:val="0"/>
          <w:color w:val="000000" w:themeColor="text1"/>
          <w:kern w:val="0"/>
          <w:sz w:val="36"/>
          <w:szCs w:val="36"/>
          <w:u w:val="none"/>
          <w:lang w:val="en-US" w:eastAsia="zh-CN" w:bidi="ar"/>
          <w14:textFill>
            <w14:solidFill>
              <w14:schemeClr w14:val="tx1"/>
            </w14:solidFill>
          </w14:textFill>
        </w:rPr>
      </w:pPr>
      <w:r>
        <w:rPr>
          <w:rFonts w:hint="default" w:ascii="Times New Roman" w:hAnsi="Times New Roman" w:eastAsia="方正小标宋简体" w:cs="Times New Roman"/>
          <w:b w:val="0"/>
          <w:bCs w:val="0"/>
          <w:i w:val="0"/>
          <w:iCs w:val="0"/>
          <w:color w:val="000000" w:themeColor="text1"/>
          <w:kern w:val="0"/>
          <w:sz w:val="36"/>
          <w:szCs w:val="36"/>
          <w:u w:val="none"/>
          <w:lang w:val="en-US" w:eastAsia="zh-CN" w:bidi="ar"/>
          <w14:textFill>
            <w14:solidFill>
              <w14:schemeClr w14:val="tx1"/>
            </w14:solidFill>
          </w14:textFill>
        </w:rPr>
        <w:t>2026年政府性基金预算收支平衡表</w:t>
      </w:r>
    </w:p>
    <w:p>
      <w:pPr>
        <w:pStyle w:val="2"/>
        <w:keepNext w:val="0"/>
        <w:keepLines w:val="0"/>
        <w:pageBreakBefore w:val="0"/>
        <w:widowControl w:val="0"/>
        <w:kinsoku/>
        <w:wordWrap/>
        <w:overflowPunct/>
        <w:topLinePunct w:val="0"/>
        <w:autoSpaceDE/>
        <w:autoSpaceDN/>
        <w:bidi w:val="0"/>
        <w:adjustRightInd/>
        <w:snapToGrid/>
        <w:spacing w:after="0" w:line="380" w:lineRule="exact"/>
        <w:ind w:left="0" w:leftChars="0" w:firstLine="0" w:firstLineChars="0"/>
        <w:jc w:val="right"/>
        <w:textAlignment w:val="auto"/>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单位：万元</w:t>
      </w:r>
    </w:p>
    <w:tbl>
      <w:tblPr>
        <w:tblStyle w:val="12"/>
        <w:tblW w:w="1433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40"/>
        <w:gridCol w:w="990"/>
        <w:gridCol w:w="945"/>
        <w:gridCol w:w="1260"/>
        <w:gridCol w:w="3390"/>
        <w:gridCol w:w="1050"/>
        <w:gridCol w:w="1170"/>
        <w:gridCol w:w="1230"/>
        <w:gridCol w:w="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7" w:hRule="atLeast"/>
          <w:jc w:val="center"/>
        </w:trPr>
        <w:tc>
          <w:tcPr>
            <w:tcW w:w="66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收入</w:t>
            </w:r>
          </w:p>
        </w:tc>
        <w:tc>
          <w:tcPr>
            <w:tcW w:w="6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支出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7" w:hRule="atLeast"/>
          <w:jc w:val="center"/>
        </w:trPr>
        <w:tc>
          <w:tcPr>
            <w:tcW w:w="3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上年预算数</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预算数</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上年预算数</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预算数</w:t>
            </w:r>
          </w:p>
        </w:tc>
        <w:tc>
          <w:tcPr>
            <w:tcW w:w="86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6" w:hRule="atLeast"/>
          <w:jc w:val="center"/>
        </w:trPr>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金额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为上年预算数的%</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金额</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为上年预算数的%</w:t>
            </w: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一、农网还贷资金收入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一、文化旅游体育与传媒支出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十、小型水库移民扶助基金收入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二、社会保障和就业支出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三、节能环保支出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8886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四、城乡社区支出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五、农林水支出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六、交通运输支出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七、资源勘探工业信息等支出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八、其他支出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408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九、债务付息支出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10272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11344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110.4%</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十、债务发行费用支出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十一、抗疫特别国债安排的支出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收入合计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支出合计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10772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21092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195.8%</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转移性收入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10772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21352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198.2%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转移性支出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政府性基金补助收入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政府性基金补助支出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政府性基金上解收入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政府性基金上解支出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上年结余收入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9748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1949.6%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调出资金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调入资金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10272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11604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113.0%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年终结余（转）</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债务收入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2240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 xml:space="preserve">  债务支出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2500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地方政府专项债务收入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地方政府专项债务还本支出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2500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地方政府专项债务转贷收入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2240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    地方政府专项债务转贷支出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7" w:hRule="atLeast"/>
          <w:jc w:val="center"/>
        </w:trPr>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收入总计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10772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23592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219.0%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支出总计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10772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23592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219.0%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bl>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t>表3</w:t>
      </w:r>
    </w:p>
    <w:p>
      <w:pPr>
        <w:pStyle w:val="2"/>
        <w:keepNext w:val="0"/>
        <w:keepLines w:val="0"/>
        <w:pageBreakBefore w:val="0"/>
        <w:widowControl w:val="0"/>
        <w:kinsoku/>
        <w:wordWrap/>
        <w:overflowPunct/>
        <w:topLinePunct w:val="0"/>
        <w:autoSpaceDE/>
        <w:autoSpaceDN/>
        <w:bidi w:val="0"/>
        <w:adjustRightInd/>
        <w:snapToGrid/>
        <w:spacing w:after="0" w:line="380" w:lineRule="exact"/>
        <w:ind w:left="0" w:leftChars="0" w:firstLine="0" w:firstLineChars="0"/>
        <w:jc w:val="center"/>
        <w:textAlignment w:val="auto"/>
        <w:rPr>
          <w:rFonts w:hint="default" w:ascii="Times New Roman" w:hAnsi="Times New Roman" w:eastAsia="方正小标宋简体" w:cs="Times New Roman"/>
          <w:b w:val="0"/>
          <w:bCs w:val="0"/>
          <w:i w:val="0"/>
          <w:iCs w:val="0"/>
          <w:color w:val="000000" w:themeColor="text1"/>
          <w:kern w:val="0"/>
          <w:sz w:val="36"/>
          <w:szCs w:val="36"/>
          <w:u w:val="none"/>
          <w:lang w:val="en-US" w:eastAsia="zh-CN" w:bidi="ar"/>
          <w14:textFill>
            <w14:solidFill>
              <w14:schemeClr w14:val="tx1"/>
            </w14:solidFill>
          </w14:textFill>
        </w:rPr>
      </w:pPr>
      <w:r>
        <w:rPr>
          <w:rFonts w:hint="default" w:ascii="Times New Roman" w:hAnsi="Times New Roman" w:eastAsia="方正小标宋简体" w:cs="Times New Roman"/>
          <w:b w:val="0"/>
          <w:bCs w:val="0"/>
          <w:i w:val="0"/>
          <w:iCs w:val="0"/>
          <w:color w:val="000000" w:themeColor="text1"/>
          <w:kern w:val="0"/>
          <w:sz w:val="36"/>
          <w:szCs w:val="36"/>
          <w:u w:val="none"/>
          <w:lang w:val="en-US" w:eastAsia="zh-CN" w:bidi="ar"/>
          <w14:textFill>
            <w14:solidFill>
              <w14:schemeClr w14:val="tx1"/>
            </w14:solidFill>
          </w14:textFill>
        </w:rPr>
        <w:t>2026年国有资本经营预算收支平衡表</w:t>
      </w:r>
    </w:p>
    <w:p>
      <w:pPr>
        <w:pStyle w:val="2"/>
        <w:keepNext w:val="0"/>
        <w:keepLines w:val="0"/>
        <w:pageBreakBefore w:val="0"/>
        <w:widowControl w:val="0"/>
        <w:kinsoku/>
        <w:wordWrap/>
        <w:overflowPunct/>
        <w:topLinePunct w:val="0"/>
        <w:autoSpaceDE/>
        <w:autoSpaceDN/>
        <w:bidi w:val="0"/>
        <w:adjustRightInd/>
        <w:snapToGrid/>
        <w:spacing w:after="0" w:line="380" w:lineRule="exact"/>
        <w:ind w:left="0" w:leftChars="0" w:firstLine="0" w:firstLineChars="0"/>
        <w:jc w:val="right"/>
        <w:textAlignment w:val="auto"/>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单位：万元</w:t>
      </w:r>
    </w:p>
    <w:tbl>
      <w:tblPr>
        <w:tblStyle w:val="12"/>
        <w:tblW w:w="1434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20"/>
        <w:gridCol w:w="1012"/>
        <w:gridCol w:w="1095"/>
        <w:gridCol w:w="1245"/>
        <w:gridCol w:w="3945"/>
        <w:gridCol w:w="922"/>
        <w:gridCol w:w="830"/>
        <w:gridCol w:w="1244"/>
        <w:gridCol w:w="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3" w:hRule="atLeast"/>
          <w:jc w:val="center"/>
        </w:trPr>
        <w:tc>
          <w:tcPr>
            <w:tcW w:w="66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收          入</w:t>
            </w:r>
          </w:p>
        </w:tc>
        <w:tc>
          <w:tcPr>
            <w:tcW w:w="69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支          出</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3" w:hRule="atLeast"/>
          <w:jc w:val="center"/>
        </w:trPr>
        <w:tc>
          <w:tcPr>
            <w:tcW w:w="3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        目</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上年预算数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预算数</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为上年预算数的%</w:t>
            </w:r>
          </w:p>
        </w:tc>
        <w:tc>
          <w:tcPr>
            <w:tcW w:w="3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        目</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上年预算数</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预算数</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为上年预算数的%</w:t>
            </w:r>
          </w:p>
        </w:tc>
        <w:tc>
          <w:tcPr>
            <w:tcW w:w="734"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jc w:val="center"/>
        </w:trPr>
        <w:tc>
          <w:tcPr>
            <w:tcW w:w="3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3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3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一、利润收入</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1,680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1,690 </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100.60 </w:t>
            </w:r>
          </w:p>
        </w:tc>
        <w:tc>
          <w:tcPr>
            <w:tcW w:w="3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一、解决历史遗留问题及改革成本支出</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416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356 </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85.58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3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二、股利、股息收入</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二、国有企业资本金注入</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840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845 </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3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三、产权转让收入</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三、国有企业政策性补贴</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3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四、清算收入</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四、其他国有资本经营预算支出</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3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五、其他国有资本经营预算收入</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3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3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本年收入合计</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1,680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1,690 </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100.60 </w:t>
            </w:r>
          </w:p>
        </w:tc>
        <w:tc>
          <w:tcPr>
            <w:tcW w:w="3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本年支出合计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1,256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1,201 </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95.62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3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国有资本经营预算转移支付收入</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国有资本经营预算转移支付支出</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3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国有资本经营预算上解收入</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国有资本经营预算上解支出</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3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国有资本经营预算上年结余收入</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416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356 </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85.58 </w:t>
            </w:r>
          </w:p>
        </w:tc>
        <w:tc>
          <w:tcPr>
            <w:tcW w:w="3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国有资本经营预算调出资金</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840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845 </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100.60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3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3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国有资本经营预算年终结余</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jc w:val="center"/>
        </w:trPr>
        <w:tc>
          <w:tcPr>
            <w:tcW w:w="3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收 入 总 计</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2,096 </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2,046 </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97.61 </w:t>
            </w:r>
          </w:p>
        </w:tc>
        <w:tc>
          <w:tcPr>
            <w:tcW w:w="3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支 出 总 计</w:t>
            </w:r>
          </w:p>
        </w:tc>
        <w:tc>
          <w:tcPr>
            <w:tcW w:w="9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2,096 </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2,046 </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97.61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bl>
    <w:p>
      <w:pPr>
        <w:rPr>
          <w:rFonts w:hint="default" w:ascii="Times New Roman" w:hAnsi="Times New Roman" w:cs="Times New Roman"/>
          <w:color w:val="000000" w:themeColor="text1"/>
          <w:lang w:val="en-US" w:eastAsia="zh-CN"/>
          <w14:textFill>
            <w14:solidFill>
              <w14:schemeClr w14:val="tx1"/>
            </w14:solidFill>
          </w14:textFill>
        </w:rPr>
        <w:sectPr>
          <w:pgSz w:w="16838" w:h="11906" w:orient="landscape"/>
          <w:pgMar w:top="1304" w:right="1417" w:bottom="1134" w:left="1417" w:header="851" w:footer="1587" w:gutter="0"/>
          <w:cols w:space="0" w:num="1"/>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8"/>
          <w:szCs w:val="28"/>
          <w:u w:val="none"/>
          <w:lang w:val="en-US" w:eastAsia="zh-CN" w:bidi="ar"/>
          <w14:textFill>
            <w14:solidFill>
              <w14:schemeClr w14:val="tx1"/>
            </w14:solidFill>
          </w14:textFill>
        </w:rPr>
        <w:t>表4</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Times New Roman" w:hAnsi="Times New Roman" w:eastAsia="方正小标宋简体" w:cs="Times New Roman"/>
          <w:b w:val="0"/>
          <w:bCs w:val="0"/>
          <w:i w:val="0"/>
          <w:iCs w:val="0"/>
          <w:color w:val="000000" w:themeColor="text1"/>
          <w:kern w:val="0"/>
          <w:sz w:val="36"/>
          <w:szCs w:val="36"/>
          <w:u w:val="none"/>
          <w:lang w:val="en-US" w:eastAsia="zh-CN" w:bidi="ar"/>
          <w14:textFill>
            <w14:solidFill>
              <w14:schemeClr w14:val="tx1"/>
            </w14:solidFill>
          </w14:textFill>
        </w:rPr>
      </w:pPr>
      <w:r>
        <w:rPr>
          <w:rFonts w:hint="default" w:ascii="Times New Roman" w:hAnsi="Times New Roman" w:eastAsia="方正小标宋简体" w:cs="Times New Roman"/>
          <w:b w:val="0"/>
          <w:bCs w:val="0"/>
          <w:i w:val="0"/>
          <w:iCs w:val="0"/>
          <w:color w:val="000000" w:themeColor="text1"/>
          <w:kern w:val="0"/>
          <w:sz w:val="36"/>
          <w:szCs w:val="36"/>
          <w:u w:val="none"/>
          <w:lang w:val="en-US" w:eastAsia="zh-CN" w:bidi="ar"/>
          <w14:textFill>
            <w14:solidFill>
              <w14:schemeClr w14:val="tx1"/>
            </w14:solidFill>
          </w14:textFill>
        </w:rPr>
        <w:t>烈山区2026年重点保障支出(基本民生)项目预算表</w:t>
      </w:r>
    </w:p>
    <w:p>
      <w:pPr>
        <w:pStyle w:val="2"/>
        <w:keepNext w:val="0"/>
        <w:keepLines w:val="0"/>
        <w:pageBreakBefore w:val="0"/>
        <w:widowControl w:val="0"/>
        <w:kinsoku/>
        <w:wordWrap/>
        <w:overflowPunct/>
        <w:topLinePunct w:val="0"/>
        <w:autoSpaceDE/>
        <w:autoSpaceDN/>
        <w:bidi w:val="0"/>
        <w:adjustRightInd/>
        <w:snapToGrid/>
        <w:spacing w:after="0" w:line="380" w:lineRule="exact"/>
        <w:ind w:left="0" w:leftChars="0" w:firstLine="0" w:firstLineChars="0"/>
        <w:jc w:val="right"/>
        <w:textAlignment w:val="auto"/>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单位：万元</w:t>
      </w:r>
    </w:p>
    <w:tbl>
      <w:tblPr>
        <w:tblStyle w:val="12"/>
        <w:tblW w:w="982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3"/>
        <w:gridCol w:w="1155"/>
        <w:gridCol w:w="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   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预算数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003003001-2026_学前教育幼儿资助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003003002001-2026_城乡义务教育生均公用经费_小学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003003002002-2026_城乡义务教育生均公用经费_初中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003003003-2026_义务教育阶段特殊教育学校和随班就读残疾学生生均公用经费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003003005001-2026_家庭经济困难学生生活补助_小学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003003005002-2026_家庭经济困难学生生活补助_初中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003003006001-2026_普通高中生学生资助_家庭经济困难学生国家助学金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003003006002-2026_普通高中生学生资助_免除家庭经济困难学生学杂费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003003010001-2026_困难群众救助_最低生活保障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800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003003010002-2026_困难群众救助_特困人员救助供养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003003010003-2026_困难群众救助_特殊儿童群体基本生活保障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003003010004-2026_困难群众救助_临时救助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003003010005-2026_困难群众救助_流浪乞讨人员救助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003003011001-2026_残疾人补贴_困难残疾人生活补贴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55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003003011002-2026_残疾人补贴_重度残疾人护理补贴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448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003003012-2026_城乡居民基本养老保险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1300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003003014-2026_财政弥补机关事业单位养老保险的补助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8300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003003015-2026_老年人福利补贴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436</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003003017-2026_优抚对象抚恤和生活补助经费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350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003003018-2026_义务兵优待金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600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003003019-2026_退役安置支出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003003020-2026_城乡居民基本医疗保险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675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003003021-2026_基本公共卫生服务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166</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003003023-2026_城乡医疗救助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1000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003003025-2026_村级支出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2236</w:t>
            </w:r>
          </w:p>
        </w:tc>
        <w:tc>
          <w:tcPr>
            <w:tcW w:w="87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7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小计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16897</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bl>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br w:type="page"/>
      </w:r>
    </w:p>
    <w:tbl>
      <w:tblPr>
        <w:tblStyle w:val="12"/>
        <w:tblW w:w="89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5"/>
        <w:gridCol w:w="156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8960"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themeColor="text1"/>
                <w:sz w:val="36"/>
                <w:szCs w:val="36"/>
                <w:u w:val="none"/>
                <w14:textFill>
                  <w14:solidFill>
                    <w14:schemeClr w14:val="tx1"/>
                  </w14:solidFill>
                </w14:textFill>
              </w:rPr>
            </w:pPr>
            <w:r>
              <w:rPr>
                <w:rFonts w:hint="default" w:ascii="Times New Roman" w:hAnsi="Times New Roman" w:eastAsia="方正小标宋简体" w:cs="Times New Roman"/>
                <w:b w:val="0"/>
                <w:bCs w:val="0"/>
                <w:i w:val="0"/>
                <w:iCs w:val="0"/>
                <w:color w:val="000000" w:themeColor="text1"/>
                <w:kern w:val="0"/>
                <w:sz w:val="36"/>
                <w:szCs w:val="36"/>
                <w:u w:val="none"/>
                <w:lang w:val="en-US" w:eastAsia="zh-CN" w:bidi="ar"/>
                <w14:textFill>
                  <w14:solidFill>
                    <w14:schemeClr w14:val="tx1"/>
                  </w14:solidFill>
                </w14:textFill>
              </w:rPr>
              <w:t>烈山区2026年企业扶持资金项目预算表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537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5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5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金额</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5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2026年企业扶持资金项目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3600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5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小计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3600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537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5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2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537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5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2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537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5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2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0" w:hRule="atLeast"/>
          <w:jc w:val="center"/>
        </w:trPr>
        <w:tc>
          <w:tcPr>
            <w:tcW w:w="8960"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themeColor="text1"/>
                <w:sz w:val="36"/>
                <w:szCs w:val="36"/>
                <w:u w:val="none"/>
                <w14:textFill>
                  <w14:solidFill>
                    <w14:schemeClr w14:val="tx1"/>
                  </w14:solidFill>
                </w14:textFill>
              </w:rPr>
            </w:pPr>
            <w:r>
              <w:rPr>
                <w:rFonts w:hint="default" w:ascii="Times New Roman" w:hAnsi="Times New Roman" w:eastAsia="方正小标宋简体" w:cs="Times New Roman"/>
                <w:b w:val="0"/>
                <w:bCs w:val="0"/>
                <w:i w:val="0"/>
                <w:iCs w:val="0"/>
                <w:color w:val="000000" w:themeColor="text1"/>
                <w:kern w:val="0"/>
                <w:sz w:val="36"/>
                <w:szCs w:val="36"/>
                <w:u w:val="none"/>
                <w:lang w:val="en-US" w:eastAsia="zh-CN" w:bidi="ar"/>
                <w14:textFill>
                  <w14:solidFill>
                    <w14:schemeClr w14:val="tx1"/>
                  </w14:solidFill>
                </w14:textFill>
              </w:rPr>
              <w:t>烈山区2026年区定民生实事项目预算表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537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156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5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项目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金额</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5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区农水局牵头的“农田水利设施管护提升工程”</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945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含上级专项资金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5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区住建局牵头的“2026年农村道路提升工程”、</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720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含上级专项资金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5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区住建局牵头的“住宅小区物业精细化管理工程”</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提供管理服务，不安排资金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5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区城管局牵头的“城市功能品质提升工程”</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330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专项债资金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5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区人社局牵头的“困难群众医疗救助工程”</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1600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含上级专项资金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5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区公安分局“未成年人违法犯罪预防工程”</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110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区级预算资金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5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小计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3705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bl>
    <w:p>
      <w:pPr>
        <w:pStyle w:val="2"/>
        <w:rPr>
          <w:rFonts w:hint="default" w:ascii="Times New Roman" w:hAnsi="Times New Roman" w:cs="Times New Roman"/>
          <w:color w:val="000000" w:themeColor="text1"/>
          <w:lang w:val="en-US" w:eastAsia="zh-CN"/>
          <w14:textFill>
            <w14:solidFill>
              <w14:schemeClr w14:val="tx1"/>
            </w14:solidFill>
          </w14:textFill>
        </w:rPr>
      </w:pPr>
    </w:p>
    <w:sectPr>
      <w:pgSz w:w="11906" w:h="16838"/>
      <w:pgMar w:top="1984" w:right="1531" w:bottom="1814" w:left="1531"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1" w:fontKey="{B8368367-FCFA-4185-8E79-78117E6D6019}"/>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黑体">
    <w:panose1 w:val="02010609060101010101"/>
    <w:charset w:val="86"/>
    <w:family w:val="auto"/>
    <w:pitch w:val="default"/>
    <w:sig w:usb0="800002BF" w:usb1="38CF7CFA" w:usb2="00000016" w:usb3="00000000" w:csb0="00040001" w:csb1="00000000"/>
    <w:embedRegular r:id="rId2" w:fontKey="{8B26688A-20ED-4881-AD8A-F06BD89FA4E9}"/>
  </w:font>
  <w:font w:name="Calibri">
    <w:panose1 w:val="020F0502020204030204"/>
    <w:charset w:val="00"/>
    <w:family w:val="decorative"/>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3" w:fontKey="{66095517-C7D9-4F75-A207-BE5648B8DF2E}"/>
  </w:font>
  <w:font w:name="方正小标宋简体">
    <w:panose1 w:val="03000509000000000000"/>
    <w:charset w:val="86"/>
    <w:family w:val="auto"/>
    <w:pitch w:val="default"/>
    <w:sig w:usb0="00000001" w:usb1="080E0000" w:usb2="00000000" w:usb3="00000000" w:csb0="00040000" w:csb1="00000000"/>
    <w:embedRegular r:id="rId4" w:fontKey="{56E81AD7-E55D-43AD-8861-79412E7DAC4E}"/>
  </w:font>
  <w:font w:name="仿宋_GB2312">
    <w:panose1 w:val="02010609030101010101"/>
    <w:charset w:val="86"/>
    <w:family w:val="swiss"/>
    <w:pitch w:val="default"/>
    <w:sig w:usb0="00000001" w:usb1="080E0000" w:usb2="00000000" w:usb3="00000000" w:csb0="00040000" w:csb1="00000000"/>
    <w:embedRegular r:id="rId5" w:fontKey="{8E7A22A9-0917-4624-80C7-4262DAA2BE38}"/>
  </w:font>
  <w:font w:name="仿宋">
    <w:panose1 w:val="02010609060101010101"/>
    <w:charset w:val="86"/>
    <w:family w:val="auto"/>
    <w:pitch w:val="default"/>
    <w:sig w:usb0="800002BF" w:usb1="38CF7CFA" w:usb2="00000016" w:usb3="00000000" w:csb0="00040001" w:csb1="00000000"/>
    <w:embedRegular r:id="rId6" w:fontKey="{8033C564-9FF5-4CBA-8CEA-153E0603956C}"/>
  </w:font>
  <w:font w:name="Microsoft YaHei UI">
    <w:panose1 w:val="020B0503020204020204"/>
    <w:charset w:val="86"/>
    <w:family w:val="auto"/>
    <w:pitch w:val="default"/>
    <w:sig w:usb0="80000287" w:usb1="2ACF3C50" w:usb2="00000016" w:usb3="00000000" w:csb0="0004001F" w:csb1="00000000"/>
  </w:font>
  <w:font w:name="方正硬笔楷书繁体">
    <w:altName w:val="楷体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16CF5"/>
    <w:rsid w:val="001F00EA"/>
    <w:rsid w:val="003F5F2A"/>
    <w:rsid w:val="004B3FD8"/>
    <w:rsid w:val="008B73C2"/>
    <w:rsid w:val="00940D73"/>
    <w:rsid w:val="00951475"/>
    <w:rsid w:val="00C823C4"/>
    <w:rsid w:val="00D074CA"/>
    <w:rsid w:val="00ED1E2A"/>
    <w:rsid w:val="015974C0"/>
    <w:rsid w:val="015B3238"/>
    <w:rsid w:val="01763BCE"/>
    <w:rsid w:val="01DB2E0E"/>
    <w:rsid w:val="022C6982"/>
    <w:rsid w:val="02301FCF"/>
    <w:rsid w:val="024F1430"/>
    <w:rsid w:val="0281282A"/>
    <w:rsid w:val="02906F11"/>
    <w:rsid w:val="02B250DA"/>
    <w:rsid w:val="02C66BAA"/>
    <w:rsid w:val="02C91AF7"/>
    <w:rsid w:val="02D52B76"/>
    <w:rsid w:val="030376E3"/>
    <w:rsid w:val="03465822"/>
    <w:rsid w:val="034B2E38"/>
    <w:rsid w:val="039936E4"/>
    <w:rsid w:val="03E2554B"/>
    <w:rsid w:val="04003C23"/>
    <w:rsid w:val="04A57852"/>
    <w:rsid w:val="0526590B"/>
    <w:rsid w:val="05410997"/>
    <w:rsid w:val="05726DA2"/>
    <w:rsid w:val="05976809"/>
    <w:rsid w:val="05CC1408"/>
    <w:rsid w:val="065F7326"/>
    <w:rsid w:val="067526A6"/>
    <w:rsid w:val="067B1F1D"/>
    <w:rsid w:val="06A16104"/>
    <w:rsid w:val="06D838E7"/>
    <w:rsid w:val="07807554"/>
    <w:rsid w:val="07917CAA"/>
    <w:rsid w:val="079C3C62"/>
    <w:rsid w:val="07C531B9"/>
    <w:rsid w:val="07F92E63"/>
    <w:rsid w:val="082F4AD6"/>
    <w:rsid w:val="089F1C5C"/>
    <w:rsid w:val="08CF1E16"/>
    <w:rsid w:val="09120680"/>
    <w:rsid w:val="093323A4"/>
    <w:rsid w:val="09905E87"/>
    <w:rsid w:val="09A3577C"/>
    <w:rsid w:val="09B90AFC"/>
    <w:rsid w:val="09D9119E"/>
    <w:rsid w:val="09FE0C04"/>
    <w:rsid w:val="0A24407D"/>
    <w:rsid w:val="0A2A7C4B"/>
    <w:rsid w:val="0A5B6057"/>
    <w:rsid w:val="0ABB4734"/>
    <w:rsid w:val="0ACC0D02"/>
    <w:rsid w:val="0AF618DB"/>
    <w:rsid w:val="0B3B07CF"/>
    <w:rsid w:val="0BAB6B6A"/>
    <w:rsid w:val="0BE5207C"/>
    <w:rsid w:val="0C37664F"/>
    <w:rsid w:val="0C8A677F"/>
    <w:rsid w:val="0CC47EE3"/>
    <w:rsid w:val="0D046532"/>
    <w:rsid w:val="0D0A70CC"/>
    <w:rsid w:val="0D1F511A"/>
    <w:rsid w:val="0D3D5EE8"/>
    <w:rsid w:val="0DD95C10"/>
    <w:rsid w:val="0DF20370"/>
    <w:rsid w:val="0E56100F"/>
    <w:rsid w:val="0E6C0832"/>
    <w:rsid w:val="0F12423D"/>
    <w:rsid w:val="0F806E95"/>
    <w:rsid w:val="0F8B2F3A"/>
    <w:rsid w:val="0FBD6E6C"/>
    <w:rsid w:val="0FC95811"/>
    <w:rsid w:val="10060813"/>
    <w:rsid w:val="101C1DE4"/>
    <w:rsid w:val="108654B0"/>
    <w:rsid w:val="108F25B6"/>
    <w:rsid w:val="10F92125"/>
    <w:rsid w:val="115455AE"/>
    <w:rsid w:val="116F23E8"/>
    <w:rsid w:val="118E0AC0"/>
    <w:rsid w:val="11C646FD"/>
    <w:rsid w:val="12266F4A"/>
    <w:rsid w:val="126B0E01"/>
    <w:rsid w:val="126E269F"/>
    <w:rsid w:val="1279351E"/>
    <w:rsid w:val="12AF0CEE"/>
    <w:rsid w:val="12D15108"/>
    <w:rsid w:val="12EE01F9"/>
    <w:rsid w:val="12FB4D13"/>
    <w:rsid w:val="134C0C32"/>
    <w:rsid w:val="136E6DFB"/>
    <w:rsid w:val="14264FE0"/>
    <w:rsid w:val="14524026"/>
    <w:rsid w:val="147321EF"/>
    <w:rsid w:val="14C30A80"/>
    <w:rsid w:val="14DE58BA"/>
    <w:rsid w:val="150317C5"/>
    <w:rsid w:val="15051099"/>
    <w:rsid w:val="1525798D"/>
    <w:rsid w:val="157E709D"/>
    <w:rsid w:val="15D31197"/>
    <w:rsid w:val="164D3F35"/>
    <w:rsid w:val="16576640"/>
    <w:rsid w:val="16695657"/>
    <w:rsid w:val="16970417"/>
    <w:rsid w:val="16A13043"/>
    <w:rsid w:val="16BE2541"/>
    <w:rsid w:val="16EF2001"/>
    <w:rsid w:val="173E6AE4"/>
    <w:rsid w:val="17935082"/>
    <w:rsid w:val="179E7583"/>
    <w:rsid w:val="17BD20FF"/>
    <w:rsid w:val="17D42FA4"/>
    <w:rsid w:val="18041ADC"/>
    <w:rsid w:val="183A54FD"/>
    <w:rsid w:val="1840063A"/>
    <w:rsid w:val="18504D21"/>
    <w:rsid w:val="18A92683"/>
    <w:rsid w:val="18B3705E"/>
    <w:rsid w:val="18D45952"/>
    <w:rsid w:val="18E0295D"/>
    <w:rsid w:val="19094ED0"/>
    <w:rsid w:val="191A0E8B"/>
    <w:rsid w:val="194C364D"/>
    <w:rsid w:val="19D84FCE"/>
    <w:rsid w:val="19DF45AE"/>
    <w:rsid w:val="19FD2C86"/>
    <w:rsid w:val="1A820906"/>
    <w:rsid w:val="1AA50C28"/>
    <w:rsid w:val="1AC716B5"/>
    <w:rsid w:val="1B09565B"/>
    <w:rsid w:val="1B140288"/>
    <w:rsid w:val="1B177D78"/>
    <w:rsid w:val="1B4072CF"/>
    <w:rsid w:val="1B430D6D"/>
    <w:rsid w:val="1B9A62B3"/>
    <w:rsid w:val="1BA50EE0"/>
    <w:rsid w:val="1BC31CAE"/>
    <w:rsid w:val="1BE13EE2"/>
    <w:rsid w:val="1BEC4D61"/>
    <w:rsid w:val="1BFF71F2"/>
    <w:rsid w:val="1C563AE8"/>
    <w:rsid w:val="1C6D719E"/>
    <w:rsid w:val="1CA70C88"/>
    <w:rsid w:val="1CBD494F"/>
    <w:rsid w:val="1D24052A"/>
    <w:rsid w:val="1D4B3D09"/>
    <w:rsid w:val="1DF21BC0"/>
    <w:rsid w:val="1DFB74DD"/>
    <w:rsid w:val="1E0F4D36"/>
    <w:rsid w:val="1E234C86"/>
    <w:rsid w:val="1E810F3A"/>
    <w:rsid w:val="1E94348E"/>
    <w:rsid w:val="1EAC4C7B"/>
    <w:rsid w:val="1EBA2EF4"/>
    <w:rsid w:val="1ED146E2"/>
    <w:rsid w:val="1EE75CB3"/>
    <w:rsid w:val="1F4D3D68"/>
    <w:rsid w:val="1FA616CA"/>
    <w:rsid w:val="1FB262C1"/>
    <w:rsid w:val="1FBC7140"/>
    <w:rsid w:val="1FC102B2"/>
    <w:rsid w:val="1FC3402A"/>
    <w:rsid w:val="1FEA15B7"/>
    <w:rsid w:val="20B816B5"/>
    <w:rsid w:val="20C444FE"/>
    <w:rsid w:val="20EA3839"/>
    <w:rsid w:val="20F070A1"/>
    <w:rsid w:val="211663DC"/>
    <w:rsid w:val="214D44F3"/>
    <w:rsid w:val="21937A2C"/>
    <w:rsid w:val="21F55ABC"/>
    <w:rsid w:val="22327245"/>
    <w:rsid w:val="22EE13BE"/>
    <w:rsid w:val="235A5E54"/>
    <w:rsid w:val="2392443F"/>
    <w:rsid w:val="24080638"/>
    <w:rsid w:val="24134E54"/>
    <w:rsid w:val="241C63FF"/>
    <w:rsid w:val="242A0B1C"/>
    <w:rsid w:val="243454F7"/>
    <w:rsid w:val="24857B00"/>
    <w:rsid w:val="24C85C3F"/>
    <w:rsid w:val="252E1F46"/>
    <w:rsid w:val="253357AE"/>
    <w:rsid w:val="25AD37B3"/>
    <w:rsid w:val="25C44658"/>
    <w:rsid w:val="260F621B"/>
    <w:rsid w:val="265E13B7"/>
    <w:rsid w:val="26D92385"/>
    <w:rsid w:val="27604BA9"/>
    <w:rsid w:val="27A110F5"/>
    <w:rsid w:val="27C16A75"/>
    <w:rsid w:val="27CC1EEA"/>
    <w:rsid w:val="27DF1C1D"/>
    <w:rsid w:val="281A2C55"/>
    <w:rsid w:val="283006CB"/>
    <w:rsid w:val="286C3843"/>
    <w:rsid w:val="289B2869"/>
    <w:rsid w:val="289E05F9"/>
    <w:rsid w:val="28DC7F0B"/>
    <w:rsid w:val="28E60D8A"/>
    <w:rsid w:val="28FE074F"/>
    <w:rsid w:val="293320BC"/>
    <w:rsid w:val="29420A80"/>
    <w:rsid w:val="29763EBB"/>
    <w:rsid w:val="299407E6"/>
    <w:rsid w:val="29A273A6"/>
    <w:rsid w:val="29D55086"/>
    <w:rsid w:val="2A497822"/>
    <w:rsid w:val="2A6308E4"/>
    <w:rsid w:val="2A7906CA"/>
    <w:rsid w:val="2A895E70"/>
    <w:rsid w:val="2ACD3758"/>
    <w:rsid w:val="2AEF03C9"/>
    <w:rsid w:val="2B3202B6"/>
    <w:rsid w:val="2B320F6B"/>
    <w:rsid w:val="2B8C5C18"/>
    <w:rsid w:val="2BE55328"/>
    <w:rsid w:val="2C167BD8"/>
    <w:rsid w:val="2C222404"/>
    <w:rsid w:val="2C4E1120"/>
    <w:rsid w:val="2CD51B1F"/>
    <w:rsid w:val="2D7626DC"/>
    <w:rsid w:val="2DCB7498"/>
    <w:rsid w:val="2E235D2B"/>
    <w:rsid w:val="2E6A063F"/>
    <w:rsid w:val="2EA27EFB"/>
    <w:rsid w:val="2F20249B"/>
    <w:rsid w:val="2F266384"/>
    <w:rsid w:val="2F63428C"/>
    <w:rsid w:val="2F8337D6"/>
    <w:rsid w:val="2FAD0853"/>
    <w:rsid w:val="2FB971F8"/>
    <w:rsid w:val="2FD61B58"/>
    <w:rsid w:val="30BA3228"/>
    <w:rsid w:val="30C145B6"/>
    <w:rsid w:val="30F304E8"/>
    <w:rsid w:val="310D15A9"/>
    <w:rsid w:val="312F7772"/>
    <w:rsid w:val="316D3DF6"/>
    <w:rsid w:val="31BC4D7D"/>
    <w:rsid w:val="31D2634F"/>
    <w:rsid w:val="31EC7411"/>
    <w:rsid w:val="324F174E"/>
    <w:rsid w:val="32A71CA5"/>
    <w:rsid w:val="32D44EC9"/>
    <w:rsid w:val="32DD144F"/>
    <w:rsid w:val="32E97DF4"/>
    <w:rsid w:val="33164948"/>
    <w:rsid w:val="331A7FAD"/>
    <w:rsid w:val="33743B62"/>
    <w:rsid w:val="339C09C3"/>
    <w:rsid w:val="33D22636"/>
    <w:rsid w:val="33F56325"/>
    <w:rsid w:val="344A6670"/>
    <w:rsid w:val="3459310A"/>
    <w:rsid w:val="350C1B78"/>
    <w:rsid w:val="351B1DBB"/>
    <w:rsid w:val="35345882"/>
    <w:rsid w:val="353510CF"/>
    <w:rsid w:val="355A28E3"/>
    <w:rsid w:val="35B53FBD"/>
    <w:rsid w:val="35CD57AB"/>
    <w:rsid w:val="35DF6AED"/>
    <w:rsid w:val="35E11256"/>
    <w:rsid w:val="369167D9"/>
    <w:rsid w:val="369F6ECB"/>
    <w:rsid w:val="36C505C0"/>
    <w:rsid w:val="36CC7811"/>
    <w:rsid w:val="36D3294D"/>
    <w:rsid w:val="36F87E3A"/>
    <w:rsid w:val="371D1E1A"/>
    <w:rsid w:val="37362EDC"/>
    <w:rsid w:val="377A726D"/>
    <w:rsid w:val="37A75B88"/>
    <w:rsid w:val="37B3277F"/>
    <w:rsid w:val="37FC4126"/>
    <w:rsid w:val="387305DE"/>
    <w:rsid w:val="388F4F9A"/>
    <w:rsid w:val="38CF5396"/>
    <w:rsid w:val="38E928FC"/>
    <w:rsid w:val="38EC7CF6"/>
    <w:rsid w:val="390F1C37"/>
    <w:rsid w:val="39671A73"/>
    <w:rsid w:val="3A033549"/>
    <w:rsid w:val="3A1273C6"/>
    <w:rsid w:val="3A4F2C33"/>
    <w:rsid w:val="3A557B1D"/>
    <w:rsid w:val="3A8F302F"/>
    <w:rsid w:val="3AD969A0"/>
    <w:rsid w:val="3B077069"/>
    <w:rsid w:val="3B443E1A"/>
    <w:rsid w:val="3B455D5F"/>
    <w:rsid w:val="3B7A783B"/>
    <w:rsid w:val="3BA53B57"/>
    <w:rsid w:val="3BD17677"/>
    <w:rsid w:val="3BDD426E"/>
    <w:rsid w:val="3BFF2436"/>
    <w:rsid w:val="3C0B2B89"/>
    <w:rsid w:val="3C1C4D96"/>
    <w:rsid w:val="3C3814A4"/>
    <w:rsid w:val="3C5462DE"/>
    <w:rsid w:val="3CE941F9"/>
    <w:rsid w:val="3D37175C"/>
    <w:rsid w:val="3D385C00"/>
    <w:rsid w:val="3D42082D"/>
    <w:rsid w:val="3DE215C5"/>
    <w:rsid w:val="3EA578CB"/>
    <w:rsid w:val="3EC84D62"/>
    <w:rsid w:val="3F0D4E6A"/>
    <w:rsid w:val="3F220916"/>
    <w:rsid w:val="3F3B5533"/>
    <w:rsid w:val="3F7B0026"/>
    <w:rsid w:val="3F892743"/>
    <w:rsid w:val="3F9609BC"/>
    <w:rsid w:val="3FDD65EB"/>
    <w:rsid w:val="400C6ED0"/>
    <w:rsid w:val="40752CC7"/>
    <w:rsid w:val="40A13ABC"/>
    <w:rsid w:val="40BC6B48"/>
    <w:rsid w:val="40FB141E"/>
    <w:rsid w:val="40FE4A6B"/>
    <w:rsid w:val="419E7FFC"/>
    <w:rsid w:val="41A90E7A"/>
    <w:rsid w:val="420C1409"/>
    <w:rsid w:val="423D15C3"/>
    <w:rsid w:val="42D75573"/>
    <w:rsid w:val="431111E7"/>
    <w:rsid w:val="43284021"/>
    <w:rsid w:val="432A3781"/>
    <w:rsid w:val="436C03B1"/>
    <w:rsid w:val="437454B8"/>
    <w:rsid w:val="43CA332A"/>
    <w:rsid w:val="442C5D93"/>
    <w:rsid w:val="4453331F"/>
    <w:rsid w:val="447F4114"/>
    <w:rsid w:val="44E65F41"/>
    <w:rsid w:val="451B69DA"/>
    <w:rsid w:val="458D460F"/>
    <w:rsid w:val="459613CA"/>
    <w:rsid w:val="45F823D0"/>
    <w:rsid w:val="46191F15"/>
    <w:rsid w:val="465D0ED1"/>
    <w:rsid w:val="46853538"/>
    <w:rsid w:val="46B05036"/>
    <w:rsid w:val="471D6AE0"/>
    <w:rsid w:val="47226FD9"/>
    <w:rsid w:val="4743767B"/>
    <w:rsid w:val="474E6020"/>
    <w:rsid w:val="47590C4D"/>
    <w:rsid w:val="476A10AC"/>
    <w:rsid w:val="47B916EB"/>
    <w:rsid w:val="48205C0E"/>
    <w:rsid w:val="48657AC5"/>
    <w:rsid w:val="48790E7B"/>
    <w:rsid w:val="48A04E07"/>
    <w:rsid w:val="49090450"/>
    <w:rsid w:val="4951374A"/>
    <w:rsid w:val="497F6965"/>
    <w:rsid w:val="49C12AD9"/>
    <w:rsid w:val="49CE24FF"/>
    <w:rsid w:val="4A4756D4"/>
    <w:rsid w:val="4A857FAB"/>
    <w:rsid w:val="4A9F72BE"/>
    <w:rsid w:val="4AAE5753"/>
    <w:rsid w:val="4B0B2636"/>
    <w:rsid w:val="4B1732F9"/>
    <w:rsid w:val="4B2C0426"/>
    <w:rsid w:val="4BA803F5"/>
    <w:rsid w:val="4BBC5C4E"/>
    <w:rsid w:val="4BD25472"/>
    <w:rsid w:val="4BE516AC"/>
    <w:rsid w:val="4C8C2F4B"/>
    <w:rsid w:val="4D04450E"/>
    <w:rsid w:val="4D0A29E9"/>
    <w:rsid w:val="4D907392"/>
    <w:rsid w:val="4D9D385D"/>
    <w:rsid w:val="4DED0341"/>
    <w:rsid w:val="4E0F6509"/>
    <w:rsid w:val="4EAC1FAA"/>
    <w:rsid w:val="4ED137BE"/>
    <w:rsid w:val="4EEE3998"/>
    <w:rsid w:val="4F0C47F7"/>
    <w:rsid w:val="4FBA4253"/>
    <w:rsid w:val="4FD86DCF"/>
    <w:rsid w:val="4FE85264"/>
    <w:rsid w:val="500E459E"/>
    <w:rsid w:val="501F49FD"/>
    <w:rsid w:val="50493828"/>
    <w:rsid w:val="50566671"/>
    <w:rsid w:val="50C01D3C"/>
    <w:rsid w:val="51037E7B"/>
    <w:rsid w:val="51387B25"/>
    <w:rsid w:val="51431DF8"/>
    <w:rsid w:val="51712231"/>
    <w:rsid w:val="527E5A0B"/>
    <w:rsid w:val="52AD4542"/>
    <w:rsid w:val="52B61649"/>
    <w:rsid w:val="52D7511B"/>
    <w:rsid w:val="52E2243E"/>
    <w:rsid w:val="52EF4B5B"/>
    <w:rsid w:val="530A3743"/>
    <w:rsid w:val="537806AC"/>
    <w:rsid w:val="53B11E10"/>
    <w:rsid w:val="53B316E5"/>
    <w:rsid w:val="53C20DFC"/>
    <w:rsid w:val="53E53868"/>
    <w:rsid w:val="543F11CA"/>
    <w:rsid w:val="54BF0B57"/>
    <w:rsid w:val="55195EBF"/>
    <w:rsid w:val="55480552"/>
    <w:rsid w:val="554C1DF1"/>
    <w:rsid w:val="556E620B"/>
    <w:rsid w:val="55943790"/>
    <w:rsid w:val="55C0458D"/>
    <w:rsid w:val="55FF0DF6"/>
    <w:rsid w:val="56175C35"/>
    <w:rsid w:val="562501E7"/>
    <w:rsid w:val="56674A08"/>
    <w:rsid w:val="566B44F9"/>
    <w:rsid w:val="56D627B6"/>
    <w:rsid w:val="56DE116E"/>
    <w:rsid w:val="56F52014"/>
    <w:rsid w:val="572052E3"/>
    <w:rsid w:val="57B974E6"/>
    <w:rsid w:val="57E24C8E"/>
    <w:rsid w:val="58533496"/>
    <w:rsid w:val="586E207E"/>
    <w:rsid w:val="58705DF6"/>
    <w:rsid w:val="58AE4B70"/>
    <w:rsid w:val="590B22B6"/>
    <w:rsid w:val="59351CF1"/>
    <w:rsid w:val="595E20F3"/>
    <w:rsid w:val="59814033"/>
    <w:rsid w:val="59961079"/>
    <w:rsid w:val="59B368E2"/>
    <w:rsid w:val="59CE54CA"/>
    <w:rsid w:val="59E06FAB"/>
    <w:rsid w:val="5AA94DA2"/>
    <w:rsid w:val="5AB87F28"/>
    <w:rsid w:val="5AEC3417"/>
    <w:rsid w:val="5B2630E4"/>
    <w:rsid w:val="5B5F2152"/>
    <w:rsid w:val="5B8A3673"/>
    <w:rsid w:val="5B8A5421"/>
    <w:rsid w:val="5B8B2F47"/>
    <w:rsid w:val="5BD26DC8"/>
    <w:rsid w:val="5BFB62B2"/>
    <w:rsid w:val="5C5D4249"/>
    <w:rsid w:val="5C642116"/>
    <w:rsid w:val="5C98591B"/>
    <w:rsid w:val="5CB22E1D"/>
    <w:rsid w:val="5CC81399"/>
    <w:rsid w:val="5D080CF3"/>
    <w:rsid w:val="5D4B5084"/>
    <w:rsid w:val="5D535CE6"/>
    <w:rsid w:val="5D8440F2"/>
    <w:rsid w:val="5DCD202A"/>
    <w:rsid w:val="5DFB4449"/>
    <w:rsid w:val="5E1748FD"/>
    <w:rsid w:val="5E5835B4"/>
    <w:rsid w:val="5E5B095A"/>
    <w:rsid w:val="5E6463FD"/>
    <w:rsid w:val="5E682DC4"/>
    <w:rsid w:val="5E8C75FF"/>
    <w:rsid w:val="5E9461EF"/>
    <w:rsid w:val="5E960581"/>
    <w:rsid w:val="5EB01642"/>
    <w:rsid w:val="5EE94B54"/>
    <w:rsid w:val="5EFF6126"/>
    <w:rsid w:val="5F166FCB"/>
    <w:rsid w:val="5F7268F8"/>
    <w:rsid w:val="5FD17AC2"/>
    <w:rsid w:val="5FD501C7"/>
    <w:rsid w:val="5FE16CF5"/>
    <w:rsid w:val="600B28A8"/>
    <w:rsid w:val="605E0C2A"/>
    <w:rsid w:val="606A5821"/>
    <w:rsid w:val="61AD00BB"/>
    <w:rsid w:val="61ED7BB9"/>
    <w:rsid w:val="62206ADF"/>
    <w:rsid w:val="62EB733F"/>
    <w:rsid w:val="63181564"/>
    <w:rsid w:val="631A1780"/>
    <w:rsid w:val="631B2E02"/>
    <w:rsid w:val="63333EB7"/>
    <w:rsid w:val="63387E58"/>
    <w:rsid w:val="633F11E7"/>
    <w:rsid w:val="63525E2D"/>
    <w:rsid w:val="63770981"/>
    <w:rsid w:val="63A70E45"/>
    <w:rsid w:val="63AD43A2"/>
    <w:rsid w:val="64063AB3"/>
    <w:rsid w:val="645143C2"/>
    <w:rsid w:val="64835103"/>
    <w:rsid w:val="648B532D"/>
    <w:rsid w:val="64CE2822"/>
    <w:rsid w:val="64F953C5"/>
    <w:rsid w:val="65A45331"/>
    <w:rsid w:val="660A46B9"/>
    <w:rsid w:val="66100C18"/>
    <w:rsid w:val="665F56FC"/>
    <w:rsid w:val="66666A8A"/>
    <w:rsid w:val="667F18FA"/>
    <w:rsid w:val="66C537B1"/>
    <w:rsid w:val="680622D3"/>
    <w:rsid w:val="682409AB"/>
    <w:rsid w:val="683A3D2B"/>
    <w:rsid w:val="68FE744E"/>
    <w:rsid w:val="6906116E"/>
    <w:rsid w:val="691B00B0"/>
    <w:rsid w:val="6942733B"/>
    <w:rsid w:val="694D5CE0"/>
    <w:rsid w:val="6990454A"/>
    <w:rsid w:val="699F53F8"/>
    <w:rsid w:val="69A004FC"/>
    <w:rsid w:val="69AF0748"/>
    <w:rsid w:val="69CA7330"/>
    <w:rsid w:val="6A130CD7"/>
    <w:rsid w:val="6A244C92"/>
    <w:rsid w:val="6A5D1F52"/>
    <w:rsid w:val="6AAD4C88"/>
    <w:rsid w:val="6AB37DC4"/>
    <w:rsid w:val="6B1E16E2"/>
    <w:rsid w:val="6BEE5558"/>
    <w:rsid w:val="6C2B0057"/>
    <w:rsid w:val="6C2C42D2"/>
    <w:rsid w:val="6C47110C"/>
    <w:rsid w:val="6C9854C4"/>
    <w:rsid w:val="6CA34594"/>
    <w:rsid w:val="6CB467A2"/>
    <w:rsid w:val="6CB57E24"/>
    <w:rsid w:val="6CBA368C"/>
    <w:rsid w:val="6CC664D5"/>
    <w:rsid w:val="6D45564C"/>
    <w:rsid w:val="6D800430"/>
    <w:rsid w:val="6D875C64"/>
    <w:rsid w:val="6D920165"/>
    <w:rsid w:val="6E2A65EF"/>
    <w:rsid w:val="6E5C0E9F"/>
    <w:rsid w:val="6E7D7067"/>
    <w:rsid w:val="6EE0585D"/>
    <w:rsid w:val="6F0F3757"/>
    <w:rsid w:val="6F1C062E"/>
    <w:rsid w:val="6F1D10D4"/>
    <w:rsid w:val="6F3C482C"/>
    <w:rsid w:val="6F631DB9"/>
    <w:rsid w:val="6F651FD5"/>
    <w:rsid w:val="6F7402B7"/>
    <w:rsid w:val="6FAA3E8C"/>
    <w:rsid w:val="6FE12EF9"/>
    <w:rsid w:val="702F613F"/>
    <w:rsid w:val="708446DD"/>
    <w:rsid w:val="70A95EF1"/>
    <w:rsid w:val="714116CE"/>
    <w:rsid w:val="71A861A9"/>
    <w:rsid w:val="71CA611F"/>
    <w:rsid w:val="720F6228"/>
    <w:rsid w:val="72B556A2"/>
    <w:rsid w:val="72B62B48"/>
    <w:rsid w:val="72C2329A"/>
    <w:rsid w:val="72D54ABB"/>
    <w:rsid w:val="72E43211"/>
    <w:rsid w:val="730613D9"/>
    <w:rsid w:val="73290765"/>
    <w:rsid w:val="73471D8B"/>
    <w:rsid w:val="735B2588"/>
    <w:rsid w:val="735C724B"/>
    <w:rsid w:val="736305DA"/>
    <w:rsid w:val="73CF3EC1"/>
    <w:rsid w:val="73E43920"/>
    <w:rsid w:val="74006D99"/>
    <w:rsid w:val="74471CA9"/>
    <w:rsid w:val="746F7452"/>
    <w:rsid w:val="74736F42"/>
    <w:rsid w:val="74862FA0"/>
    <w:rsid w:val="74982505"/>
    <w:rsid w:val="74B9247B"/>
    <w:rsid w:val="74D07EF1"/>
    <w:rsid w:val="75267B11"/>
    <w:rsid w:val="75E663D6"/>
    <w:rsid w:val="765C7562"/>
    <w:rsid w:val="76612DCA"/>
    <w:rsid w:val="76830F93"/>
    <w:rsid w:val="7693517B"/>
    <w:rsid w:val="76C23869"/>
    <w:rsid w:val="77752FD1"/>
    <w:rsid w:val="780659D7"/>
    <w:rsid w:val="78511348"/>
    <w:rsid w:val="785726D7"/>
    <w:rsid w:val="786B381F"/>
    <w:rsid w:val="796055BB"/>
    <w:rsid w:val="79975481"/>
    <w:rsid w:val="7A3E58FC"/>
    <w:rsid w:val="7A440A39"/>
    <w:rsid w:val="7A4A42A1"/>
    <w:rsid w:val="7A4B0019"/>
    <w:rsid w:val="7A923E9A"/>
    <w:rsid w:val="7A9814B1"/>
    <w:rsid w:val="7AA17C39"/>
    <w:rsid w:val="7AA31C03"/>
    <w:rsid w:val="7AA5597C"/>
    <w:rsid w:val="7ABE07EB"/>
    <w:rsid w:val="7AC1208A"/>
    <w:rsid w:val="7AFD7566"/>
    <w:rsid w:val="7B18439F"/>
    <w:rsid w:val="7B18614D"/>
    <w:rsid w:val="7B1B79EC"/>
    <w:rsid w:val="7B4A207F"/>
    <w:rsid w:val="7B7B40EA"/>
    <w:rsid w:val="7BB340C8"/>
    <w:rsid w:val="7C2B217F"/>
    <w:rsid w:val="7C773348"/>
    <w:rsid w:val="7CE0713F"/>
    <w:rsid w:val="7D15778E"/>
    <w:rsid w:val="7D407BDD"/>
    <w:rsid w:val="7D492610"/>
    <w:rsid w:val="7D7B29C4"/>
    <w:rsid w:val="7D952CAB"/>
    <w:rsid w:val="7D957F29"/>
    <w:rsid w:val="7DDB3462"/>
    <w:rsid w:val="7DDD542C"/>
    <w:rsid w:val="7DE844FD"/>
    <w:rsid w:val="7E34037C"/>
    <w:rsid w:val="7E3F359E"/>
    <w:rsid w:val="7E521976"/>
    <w:rsid w:val="7E8A7362"/>
    <w:rsid w:val="7ED44A81"/>
    <w:rsid w:val="7F271055"/>
    <w:rsid w:val="7F7678E7"/>
    <w:rsid w:val="7FA343FF"/>
    <w:rsid w:val="7FE9455C"/>
    <w:rsid w:val="A1FD554A"/>
    <w:rsid w:val="FB69B613"/>
    <w:rsid w:val="FBFFCF4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eastAsia="Times New Roman"/>
      <w:sz w:val="20"/>
    </w:rPr>
  </w:style>
  <w:style w:type="paragraph" w:styleId="3">
    <w:name w:val="Body Text"/>
    <w:basedOn w:val="1"/>
    <w:qFormat/>
    <w:uiPriority w:val="99"/>
    <w:pPr>
      <w:spacing w:line="580" w:lineRule="exact"/>
      <w:ind w:firstLine="880" w:firstLineChars="200"/>
      <w:jc w:val="left"/>
    </w:pPr>
    <w:rPr>
      <w:rFonts w:eastAsia="仿宋_GB2312" w:asciiTheme="minorAscii" w:hAnsiTheme="minorAscii"/>
      <w:sz w:val="32"/>
    </w:rPr>
  </w:style>
  <w:style w:type="paragraph" w:styleId="4">
    <w:name w:val="Body Text Indent"/>
    <w:basedOn w:val="1"/>
    <w:next w:val="5"/>
    <w:unhideWhenUsed/>
    <w:qFormat/>
    <w:uiPriority w:val="99"/>
    <w:pPr>
      <w:spacing w:after="120"/>
      <w:ind w:left="420" w:leftChars="200"/>
    </w:pPr>
  </w:style>
  <w:style w:type="paragraph" w:styleId="5">
    <w:name w:val="envelope return"/>
    <w:basedOn w:val="1"/>
    <w:unhideWhenUsed/>
    <w:qFormat/>
    <w:uiPriority w:val="99"/>
    <w:pPr>
      <w:snapToGrid w:val="0"/>
    </w:pPr>
    <w:rPr>
      <w:rFonts w:ascii="Arial" w:hAnsi="Arial" w:cs="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4"/>
    <w:next w:val="1"/>
    <w:unhideWhenUsed/>
    <w:qFormat/>
    <w:uiPriority w:val="99"/>
    <w:pPr>
      <w:ind w:firstLine="420" w:firstLineChars="2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contractReview xmlns="http://schemas.wps.cn/vas-ai-hub/contract-review">
  <reviewItems>
    <reviewItem>
      <errorID>c1d1f511-57f1-4e40-b133-eabffa2eb63a</errorID>
      <errorWord>加强</errorWord>
      <group>L1_Word</group>
      <groupName>字词问题</groupName>
      <ability>L2_Typo</ability>
      <abilityName>字词错误</abilityName>
      <candidateList>
        <item>加大</item>
      </candidateList>
      <explain>“加强～力度”搭配不当，建议修改为“加大～力度”。</explain>
      <paraID>22FCA979</paraID>
      <start>105</start>
      <end>107</end>
      <status>unmodified</status>
      <modifiedWord/>
      <trackRevisions>false</trackRevisions>
    </reviewItem>
    <reviewItem>
      <errorID>48fee6df-7ca0-4e14-88fc-a9f847d0e89b</errorID>
      <errorWord>国有资本和国有企业做大做强做优</errorWord>
      <group>L1_Political</group>
      <groupName>政治性问题</groupName>
      <ability>L2_Keyword</ability>
      <abilityName>固定表述</abilityName>
      <candidateList>
        <item>国有资本和国有企业做强做优做大</item>
      </candidateList>
      <explain>词汇“国有资本和国有企业做强做优做大”在特定场景下为固定表述形式，请确认此处的“国有资本和国有企业做大做强做优”是否存在不当。</explain>
      <paraID>2E7EB30F</paraID>
      <start>13</start>
      <end>28</end>
      <status>unmodified</status>
      <modifiedWord/>
      <trackRevisions>false</trackRevisions>
    </reviewItem>
    <reviewItem>
      <errorID>a012c661-0233-467b-ad68-aa69f43bdb07</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1E3F5BE9</paraID>
      <start>84</start>
      <end>88</end>
      <status>unmodified</status>
      <modifiedWord/>
      <trackRevisions>false</trackRevisions>
    </reviewItem>
    <reviewItem>
      <errorID>2d10238b-233e-443a-8fc5-585602c073c3</errorID>
      <errorWord>(</errorWord>
      <group>L1_Format</group>
      <groupName>格式问题</groupName>
      <ability>L2_HalfPunc</ability>
      <abilityName>全半角检查</abilityName>
      <candidateList>
        <item>（</item>
      </candidateList>
      <explain>文本全半角错误。</explain>
      <paraID>5E784C24</paraID>
      <start>33</start>
      <end>34</end>
      <status>unmodified</status>
      <modifiedWord/>
      <trackRevisions>false</trackRevisions>
    </reviewItem>
    <reviewItem>
      <errorID>b87a71a5-2b74-4899-80e3-b093a6e08731</errorID>
      <errorWord>)</errorWord>
      <group>L1_Format</group>
      <groupName>格式问题</groupName>
      <ability>L2_HalfPunc</ability>
      <abilityName>全半角检查</abilityName>
      <candidateList>
        <item>）</item>
      </candidateList>
      <explain>文本全半角错误。</explain>
      <paraID>5E784C24</paraID>
      <start>38</start>
      <end>39</end>
      <status>unmodified</status>
      <modifiedWord/>
      <trackRevisions>false</trackRevisions>
    </reviewItem>
    <reviewItem>
      <errorID>39c249b2-6cf0-4cbb-b5df-22ee267fc183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377AD732</paraID>
      <start>435</start>
      <end>438</end>
      <status>unmodified</status>
      <modifiedWord/>
      <trackRevisions>false</trackRevisions>
    </reviewItem>
    <reviewItem>
      <errorID>ee575f26-fbf9-4046-856c-3559d8851a0b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377AD732</paraID>
      <start>441</start>
      <end>444</end>
      <status>unmodified</status>
      <modifiedWord/>
      <trackRevisions>false</trackRevisions>
    </reviewItem>
    <reviewItem>
      <errorID>d196c4a4-f758-4be4-8ade-8a851da4a176</errorID>
      <errorWord>人大常委会议</errorWord>
      <group>L1_Political</group>
      <groupName>政治性问题</groupName>
      <ability>L2_Keyword</ability>
      <abilityName>固定表述</abilityName>
      <candidateList>
        <item>人大常委会会议</item>
      </candidateList>
      <explain>词汇“人大常委会会议”在特定场景下为固定表述形式，请确认此处的“人大常委会议”是否存在不当。</explain>
      <paraID>16D5E8B4</paraID>
      <start>103</start>
      <end>109</end>
      <status>unmodified</status>
      <modifiedWord/>
      <trackRevisions>false</trackRevisions>
    </reviewItem>
    <reviewItem>
      <errorID>6a6b2795-4395-40fd-8114-9ba056a63f1a</errorID>
      <errorWord>真正能</errorWord>
      <group>L1_Word</group>
      <groupName>字词问题</groupName>
      <ability>L2_Typo</ability>
      <abilityName>字词错误</abilityName>
      <candidateList>
        <item>真正</item>
      </candidateList>
      <explain>❶〈形〉属性词。实质跟名义完全相符：群众是～的英雄｜～的吉林人参。❷〈副〉的的确确；确实：这东西～好吃。</explain>
      <paraID>16D5E8B4</paraID>
      <start>277</start>
      <end>280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6db19f-505b-497d-be12-0e8c3c04ae92}">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8271</Words>
  <Characters>8893</Characters>
  <Lines>0</Lines>
  <Paragraphs>0</Paragraphs>
  <TotalTime>0</TotalTime>
  <ScaleCrop>false</ScaleCrop>
  <LinksUpToDate>false</LinksUpToDate>
  <CharactersWithSpaces>8901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2025-12-13T17:06:00Z</dcterms:created>
  <dc:creator>静水流深</dc:creator>
  <cp:lastModifiedBy>LS01</cp:lastModifiedBy>
  <dcterms:modified xsi:type="dcterms:W3CDTF">2026-02-26T01:34:48Z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C9A8CFA4DC924D8BA9052558EF172FF1_13</vt:lpwstr>
  </property>
  <property fmtid="{D5CDD505-2E9C-101B-9397-08002B2CF9AE}" pid="4" name="KSOTemplateDocerSaveRecord">
    <vt:lpwstr>eyJoZGlkIjoiZTNhNThmMTkyMDg3N2JkNDk4ZjVkNWZlZDVlYTM3MzMiLCJ1c2VySWQiOiI1NTk0MjUxNzkifQ==</vt:lpwstr>
  </property>
</Properties>
</file>