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烈山区宋疃镇卫生院2026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5"/>
        <w:adjustRightInd w:val="0"/>
        <w:snapToGrid w:val="0"/>
        <w:spacing w:line="560" w:lineRule="exact"/>
        <w:jc w:val="center"/>
        <w:rPr>
          <w:rFonts w:ascii="TimesNewRoman" w:hAnsi="TimesNewRoman" w:eastAsia="黑体" w:cs="TimesNewRoman"/>
          <w:bCs/>
          <w:sz w:val="44"/>
          <w:szCs w:val="44"/>
        </w:rPr>
      </w:pPr>
    </w:p>
    <w:p w14:paraId="4B5606AC">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6E468CAF">
      <w:pPr>
        <w:pStyle w:val="5"/>
        <w:adjustRightInd w:val="0"/>
        <w:snapToGrid w:val="0"/>
        <w:spacing w:line="560" w:lineRule="exact"/>
        <w:jc w:val="center"/>
        <w:rPr>
          <w:rFonts w:hint="eastAsia" w:ascii="TimesNewRoman" w:hAnsi="TimesNewRoman" w:eastAsia="黑体" w:cs="TimesNewRoman"/>
          <w:bCs/>
          <w:sz w:val="44"/>
          <w:szCs w:val="44"/>
        </w:rPr>
      </w:pPr>
    </w:p>
    <w:p w14:paraId="7BC613AF">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3. 2026</w:t>
      </w:r>
      <w:r>
        <w:rPr>
          <w:rFonts w:hint="eastAsia" w:ascii="TimesNewRoman" w:hAnsi="TimesNewRoman" w:eastAsia="仿宋_GB2312" w:cs="TimesNewRoman"/>
          <w:bCs/>
          <w:sz w:val="32"/>
          <w:szCs w:val="32"/>
        </w:rPr>
        <w:t>年度主要工作任务</w:t>
      </w:r>
      <w:bookmarkStart w:id="7" w:name="_GoBack"/>
      <w:bookmarkEnd w:id="7"/>
    </w:p>
    <w:p w14:paraId="0A75395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收支总表</w:t>
      </w:r>
    </w:p>
    <w:p w14:paraId="7DDF5B2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收入总表</w:t>
      </w:r>
    </w:p>
    <w:p w14:paraId="69DC67B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支出总表</w:t>
      </w:r>
    </w:p>
    <w:p w14:paraId="6BE30C7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财政拨款收支总表</w:t>
      </w:r>
    </w:p>
    <w:p w14:paraId="397CD6A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hint="eastAsia" w:ascii="TimesNewRoman" w:hAnsi="TimesNewRoman" w:eastAsia="仿宋_GB2312" w:cs="TimesNewRoman"/>
          <w:bCs/>
          <w:sz w:val="32"/>
          <w:szCs w:val="32"/>
        </w:rPr>
        <w:t>年一般公共预算支出表</w:t>
      </w:r>
    </w:p>
    <w:p w14:paraId="5235B3D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hint="eastAsia" w:ascii="TimesNewRoman" w:hAnsi="TimesNewRoman" w:eastAsia="仿宋_GB2312" w:cs="TimesNewRoman"/>
          <w:bCs/>
          <w:sz w:val="32"/>
          <w:szCs w:val="32"/>
        </w:rPr>
        <w:t>年一般公共预算基本支出表</w:t>
      </w:r>
    </w:p>
    <w:p w14:paraId="5FC89A5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hint="eastAsia" w:ascii="TimesNewRoman" w:hAnsi="TimesNewRoman" w:eastAsia="仿宋_GB2312" w:cs="TimesNewRoman"/>
          <w:bCs/>
          <w:sz w:val="32"/>
          <w:szCs w:val="32"/>
        </w:rPr>
        <w:t>年政府性基金预算支出表</w:t>
      </w:r>
    </w:p>
    <w:p w14:paraId="603E418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hint="eastAsia" w:ascii="TimesNewRoman" w:hAnsi="TimesNewRoman" w:eastAsia="仿宋_GB2312" w:cs="TimesNewRoman"/>
          <w:bCs/>
          <w:sz w:val="32"/>
          <w:szCs w:val="32"/>
        </w:rPr>
        <w:t>年国有资本经营预算支出表</w:t>
      </w:r>
    </w:p>
    <w:p w14:paraId="13E37BF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项目支出表</w:t>
      </w:r>
    </w:p>
    <w:p w14:paraId="24D625F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政府采购支出表</w:t>
      </w:r>
    </w:p>
    <w:p w14:paraId="5AF4BBD1">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政府购买服务支出表</w:t>
      </w:r>
    </w:p>
    <w:p w14:paraId="08BE54A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ascii="TimesNewRoman" w:hAnsi="TimesNewRoman" w:eastAsia="仿宋_GB2312" w:cs="TimesNewRoman"/>
          <w:bCs/>
          <w:sz w:val="32"/>
          <w:szCs w:val="32"/>
        </w:rPr>
        <w:t>年通用资产配置支出表</w:t>
      </w:r>
    </w:p>
    <w:p w14:paraId="6857293F">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5EBF5BCC">
      <w:pPr>
        <w:pStyle w:val="5"/>
        <w:adjustRightInd w:val="0"/>
        <w:snapToGrid w:val="0"/>
        <w:spacing w:line="400" w:lineRule="exact"/>
        <w:ind w:firstLine="800" w:firstLineChars="250"/>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val="en-US" w:eastAsia="zh-CN"/>
        </w:rPr>
        <w:t>12.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w:t>
      </w:r>
      <w:r>
        <w:rPr>
          <w:rFonts w:ascii="TimesNewRoman" w:hAnsi="TimesNewRoman" w:eastAsia="仿宋_GB2312" w:cs="TimesNewRoman"/>
          <w:bCs/>
          <w:sz w:val="32"/>
          <w:szCs w:val="32"/>
        </w:rPr>
        <w:t>通用资产配置支出表</w:t>
      </w:r>
      <w:r>
        <w:rPr>
          <w:rFonts w:hint="eastAsia" w:ascii="TimesNewRoman" w:hAnsi="TimesNewRoman" w:eastAsia="仿宋_GB2312" w:cs="TimesNewRoman"/>
          <w:bCs/>
          <w:sz w:val="32"/>
          <w:szCs w:val="32"/>
          <w:lang w:eastAsia="zh-CN"/>
        </w:rPr>
        <w:t>的说明</w:t>
      </w:r>
    </w:p>
    <w:p w14:paraId="62E3CE5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rPr>
        <w:t>其他重要事项情况说明</w:t>
      </w:r>
    </w:p>
    <w:p w14:paraId="3209ACF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烈山区宋疃镇卫生院2026年度</w:t>
      </w:r>
      <w:r>
        <w:rPr>
          <w:rFonts w:hint="eastAsia" w:ascii="TimesNewRoman" w:hAnsi="TimesNewRoman" w:eastAsia="仿宋_GB2312" w:cs="TimesNewRoman"/>
          <w:bCs/>
          <w:sz w:val="32"/>
          <w:szCs w:val="32"/>
        </w:rPr>
        <w:t>部门预算纳入绩效考评项目表</w:t>
      </w:r>
    </w:p>
    <w:p w14:paraId="46959CA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烈山区宋疃镇卫生院2026</w:t>
      </w:r>
      <w:r>
        <w:rPr>
          <w:rFonts w:hint="eastAsia" w:ascii="TimesNewRoman" w:hAnsi="TimesNewRoman" w:eastAsia="仿宋_GB2312" w:cs="TimesNewRoman"/>
          <w:bCs/>
          <w:sz w:val="32"/>
          <w:szCs w:val="32"/>
        </w:rPr>
        <w:t>年部门预算专项资金管理清单（专栏公开）</w:t>
      </w:r>
    </w:p>
    <w:p w14:paraId="7E456C19">
      <w:pPr>
        <w:pStyle w:val="5"/>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5D26A40D"/>
    <w:p w14:paraId="6C8BCE8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9DB64EE">
      <w:pPr>
        <w:pStyle w:val="5"/>
        <w:adjustRightInd w:val="0"/>
        <w:snapToGrid w:val="0"/>
        <w:spacing w:line="560" w:lineRule="exact"/>
        <w:ind w:firstLine="1267" w:firstLineChars="396"/>
        <w:rPr>
          <w:rFonts w:ascii="TimesNewRoman" w:hAnsi="TimesNewRoman" w:eastAsia="仿宋_GB2312" w:cs="TimesNewRoman"/>
          <w:bCs/>
          <w:sz w:val="32"/>
          <w:szCs w:val="32"/>
        </w:rPr>
      </w:pPr>
      <w:r>
        <w:rPr>
          <w:rFonts w:hint="eastAsia" w:ascii="TimesNewRoman" w:hAnsi="TimesNewRoman" w:eastAsia="仿宋_GB2312" w:cs="TimesNewRoman"/>
          <w:sz w:val="32"/>
          <w:szCs w:val="32"/>
        </w:rPr>
        <w:t>承担辖区内居民的基本医疗和公共卫生服务</w:t>
      </w:r>
      <w:r>
        <w:rPr>
          <w:rFonts w:hint="eastAsia" w:ascii="TimesNewRoman" w:hAnsi="TimesNewRoman" w:eastAsia="仿宋_GB2312" w:cs="TimesNewRoman"/>
          <w:bCs/>
          <w:sz w:val="32"/>
          <w:szCs w:val="32"/>
        </w:rPr>
        <w:t>。</w:t>
      </w:r>
    </w:p>
    <w:p w14:paraId="1575507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14:paraId="5339CD3F">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烈山区宋疃镇卫生院</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年度部门预算仅包括</w:t>
      </w:r>
      <w:r>
        <w:rPr>
          <w:rFonts w:hint="eastAsia" w:ascii="TimesNewRoman" w:hAnsi="TimesNewRoman" w:eastAsia="仿宋_GB2312" w:cs="TimesNewRoman"/>
          <w:sz w:val="32"/>
          <w:szCs w:val="32"/>
          <w:lang w:eastAsia="zh-CN"/>
        </w:rPr>
        <w:t>卫生院</w:t>
      </w:r>
      <w:r>
        <w:rPr>
          <w:rFonts w:hint="eastAsia" w:ascii="TimesNewRoman" w:hAnsi="TimesNewRoman" w:eastAsia="仿宋_GB2312" w:cs="TimesNewRoman"/>
          <w:sz w:val="32"/>
          <w:szCs w:val="32"/>
        </w:rPr>
        <w:t>本级预算，无其他下属单位预算。</w:t>
      </w:r>
    </w:p>
    <w:tbl>
      <w:tblPr>
        <w:tblStyle w:val="7"/>
        <w:tblW w:w="8540" w:type="dxa"/>
        <w:jc w:val="center"/>
        <w:tblLayout w:type="fixed"/>
        <w:tblCellMar>
          <w:top w:w="0" w:type="dxa"/>
          <w:left w:w="0" w:type="dxa"/>
          <w:bottom w:w="0" w:type="dxa"/>
          <w:right w:w="0" w:type="dxa"/>
        </w:tblCellMar>
      </w:tblPr>
      <w:tblGrid>
        <w:gridCol w:w="854"/>
        <w:gridCol w:w="3416"/>
        <w:gridCol w:w="4270"/>
      </w:tblGrid>
      <w:tr w14:paraId="34CF219B">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66ACF0">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961562">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3505EDBD">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1DC2837D">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6BBD8B">
            <w:pPr>
              <w:adjustRightInd w:val="0"/>
              <w:snapToGrid w:val="0"/>
              <w:spacing w:line="560" w:lineRule="exact"/>
              <w:jc w:val="center"/>
              <w:rPr>
                <w:rFonts w:hint="eastAsia" w:ascii="TimesNewRoman" w:hAnsi="TimesNewRoman" w:cs="TimesNewRoman" w:eastAsiaTheme="minorEastAsia"/>
                <w:sz w:val="24"/>
                <w:lang w:eastAsia="zh-CN"/>
              </w:rPr>
            </w:pPr>
            <w:r>
              <w:rPr>
                <w:rFonts w:hint="eastAsia" w:ascii="TimesNewRoman" w:hAnsi="TimesNewRoman" w:cs="TimesNewRoman"/>
                <w:sz w:val="24"/>
                <w:lang w:val="en-US" w:eastAsia="zh-CN"/>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2385B8">
            <w:pPr>
              <w:adjustRightInd w:val="0"/>
              <w:snapToGrid w:val="0"/>
              <w:spacing w:line="560" w:lineRule="exact"/>
              <w:rPr>
                <w:rFonts w:hint="eastAsia" w:ascii="TimesNewRoman" w:hAnsi="TimesNewRoman" w:cs="TimesNewRoman" w:eastAsiaTheme="minorEastAsia"/>
                <w:sz w:val="24"/>
                <w:u w:val="single"/>
                <w:lang w:eastAsia="zh-CN"/>
              </w:rPr>
            </w:pPr>
            <w:r>
              <w:rPr>
                <w:rFonts w:hint="eastAsia" w:ascii="TimesNewRoman" w:hAnsi="TimesNewRoman" w:cs="TimesNewRoman"/>
                <w:sz w:val="24"/>
                <w:u w:val="single"/>
                <w:lang w:eastAsia="zh-CN"/>
              </w:rPr>
              <w:t>淮北市烈山区宋疃镇卫生院</w:t>
            </w:r>
          </w:p>
        </w:tc>
        <w:tc>
          <w:tcPr>
            <w:tcW w:w="4270" w:type="dxa"/>
            <w:tcBorders>
              <w:top w:val="nil"/>
              <w:left w:val="nil"/>
              <w:bottom w:val="single" w:color="auto" w:sz="8" w:space="0"/>
              <w:right w:val="single" w:color="auto" w:sz="8" w:space="0"/>
            </w:tcBorders>
            <w:shd w:val="clear" w:color="auto" w:fill="FFFFFF"/>
            <w:vAlign w:val="center"/>
          </w:tcPr>
          <w:p w14:paraId="2076B9D5">
            <w:pPr>
              <w:adjustRightInd w:val="0"/>
              <w:snapToGrid w:val="0"/>
              <w:spacing w:line="560" w:lineRule="exact"/>
              <w:jc w:val="center"/>
              <w:rPr>
                <w:rFonts w:ascii="TimesNewRoman" w:hAnsi="TimesNewRoman" w:cs="TimesNewRoman"/>
                <w:sz w:val="24"/>
                <w:u w:val="single"/>
              </w:rPr>
            </w:pPr>
            <w:r>
              <w:rPr>
                <w:rFonts w:ascii="TimesNewRoman" w:hAnsi="TimesNewRoman" w:cs="TimesNewRoman"/>
                <w:bCs/>
                <w:sz w:val="24"/>
              </w:rPr>
              <w:t>公益二类事业单位</w:t>
            </w:r>
          </w:p>
        </w:tc>
      </w:tr>
    </w:tbl>
    <w:p w14:paraId="12164171">
      <w:pPr>
        <w:pStyle w:val="5"/>
        <w:adjustRightInd w:val="0"/>
        <w:snapToGrid w:val="0"/>
        <w:spacing w:line="560" w:lineRule="exact"/>
        <w:rPr>
          <w:rFonts w:hint="eastAsia" w:ascii="TimesNewRoman" w:hAnsi="TimesNewRoman" w:eastAsia="仿宋_GB2312" w:cs="TimesNewRoman"/>
          <w:sz w:val="32"/>
          <w:szCs w:val="32"/>
        </w:rPr>
      </w:pPr>
    </w:p>
    <w:p w14:paraId="4D505D6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6126EB6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0" w:name="heading_10"/>
      <w:r>
        <w:rPr>
          <w:rFonts w:hint="eastAsia" w:ascii="楷体_GB2312" w:hAnsi="楷体_GB2312" w:eastAsia="楷体_GB2312" w:cs="楷体_GB2312"/>
          <w:b/>
          <w:sz w:val="32"/>
          <w:szCs w:val="32"/>
        </w:rPr>
        <w:t>（一）党建工作：深化融合创新，强化引领效能</w:t>
      </w:r>
      <w:bookmarkEnd w:id="0"/>
    </w:p>
    <w:p w14:paraId="07CDCB3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1.加强理论武装：</w:t>
      </w:r>
      <w:r>
        <w:rPr>
          <w:rFonts w:hint="eastAsia" w:ascii="仿宋_GB2312" w:hAnsi="仿宋_GB2312" w:eastAsia="仿宋_GB2312" w:cs="仿宋_GB2312"/>
          <w:sz w:val="32"/>
          <w:szCs w:val="32"/>
        </w:rPr>
        <w:t>制定</w:t>
      </w:r>
      <w:r>
        <w:rPr>
          <w:rFonts w:hint="eastAsia" w:ascii="Times New Roman" w:hAnsi="Times New Roman" w:eastAsia="仿宋_GB2312" w:cs="Times New Roman"/>
          <w:sz w:val="32"/>
          <w:szCs w:val="32"/>
        </w:rPr>
        <w:t>2026</w:t>
      </w:r>
      <w:r>
        <w:rPr>
          <w:rFonts w:hint="eastAsia" w:ascii="仿宋_GB2312" w:hAnsi="仿宋_GB2312" w:eastAsia="仿宋_GB2312" w:cs="仿宋_GB2312"/>
          <w:sz w:val="32"/>
          <w:szCs w:val="32"/>
        </w:rPr>
        <w:t>年党建理论学习计划，持续学习习近平总书记关于卫生健康工作的重要论述，开展集中学习不少于</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次，支部书记上党课不少于</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次。常态化开展警示教育，筑牢廉洁行医思想防线。</w:t>
      </w:r>
    </w:p>
    <w:p w14:paraId="759798A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2.深化党建与业务融合：</w:t>
      </w:r>
      <w:r>
        <w:rPr>
          <w:rFonts w:hint="eastAsia" w:ascii="仿宋_GB2312" w:hAnsi="仿宋_GB2312" w:eastAsia="仿宋_GB2312" w:cs="仿宋_GB2312"/>
          <w:sz w:val="32"/>
          <w:szCs w:val="32"/>
        </w:rPr>
        <w:t>制定党建与业务融合清单，设置党员攻坚岗，围绕慢性病管理、中医药服务等难点工作开展技术攻关。做实“党建+家庭医生签约”“党建+巡回医疗”服务品牌，组织党员医疗服务队开展义诊、健康讲座不少于</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次。</w:t>
      </w:r>
    </w:p>
    <w:p w14:paraId="651FE58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3.优化党员教育管理：</w:t>
      </w:r>
      <w:r>
        <w:rPr>
          <w:rFonts w:hint="eastAsia" w:ascii="仿宋_GB2312" w:hAnsi="仿宋_GB2312" w:eastAsia="仿宋_GB2312" w:cs="仿宋_GB2312"/>
          <w:sz w:val="32"/>
          <w:szCs w:val="32"/>
        </w:rPr>
        <w:t>针对不同岗位党员制定个性化学习方案，充分利用线上学习平台开展专题学习、案例研讨。建立党员履职评价机制，将评价结果与评优评先、绩效分配挂钩。</w:t>
      </w:r>
    </w:p>
    <w:p w14:paraId="5E775B4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4.提升医德医风建设水平：</w:t>
      </w:r>
      <w:r>
        <w:rPr>
          <w:rFonts w:hint="eastAsia" w:ascii="仿宋_GB2312" w:hAnsi="仿宋_GB2312" w:eastAsia="仿宋_GB2312" w:cs="仿宋_GB2312"/>
          <w:sz w:val="32"/>
          <w:szCs w:val="32"/>
        </w:rPr>
        <w:t>开展医德医风专题培训不少</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次，组织医务人员签署廉洁从业承诺书。拓宽监督渠道，加大对收受红包、过度医疗等违规行为的排查力度，营造风清气正的医疗环境。</w:t>
      </w:r>
    </w:p>
    <w:p w14:paraId="0940BF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1" w:name="heading_11"/>
      <w:r>
        <w:rPr>
          <w:rFonts w:hint="eastAsia" w:ascii="楷体_GB2312" w:hAnsi="楷体_GB2312" w:eastAsia="楷体_GB2312" w:cs="楷体_GB2312"/>
          <w:b/>
          <w:sz w:val="32"/>
          <w:szCs w:val="32"/>
        </w:rPr>
        <w:t>（二）医疗工作：提升专业能力，保障医疗安全</w:t>
      </w:r>
      <w:bookmarkEnd w:id="1"/>
    </w:p>
    <w:p w14:paraId="07E3E9E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1.加强医疗质量持续改进：</w:t>
      </w:r>
      <w:r>
        <w:rPr>
          <w:rFonts w:hint="eastAsia" w:ascii="仿宋_GB2312" w:hAnsi="仿宋_GB2312" w:eastAsia="仿宋_GB2312" w:cs="仿宋_GB2312"/>
          <w:sz w:val="32"/>
          <w:szCs w:val="32"/>
        </w:rPr>
        <w:t>严格落实医疗核心制度，定期开展医疗质量督查，规范诊疗行为，减少医疗差错发生。</w:t>
      </w:r>
    </w:p>
    <w:p w14:paraId="5E7CD4E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2.加大人才培养引进力度：</w:t>
      </w:r>
      <w:r>
        <w:rPr>
          <w:rFonts w:hint="eastAsia" w:ascii="仿宋_GB2312" w:hAnsi="仿宋_GB2312" w:eastAsia="仿宋_GB2312" w:cs="仿宋_GB2312"/>
          <w:sz w:val="32"/>
          <w:szCs w:val="32"/>
        </w:rPr>
        <w:t>制定人才培养计划，鼓励医务人员参加继续教育和学术交流，积极引进急需专业人才，提升队伍整体素质。</w:t>
      </w:r>
    </w:p>
    <w:p w14:paraId="141F49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3.改善就医服务环境：</w:t>
      </w:r>
      <w:r>
        <w:rPr>
          <w:rFonts w:hint="eastAsia" w:ascii="仿宋_GB2312" w:hAnsi="仿宋_GB2312" w:eastAsia="仿宋_GB2312" w:cs="仿宋_GB2312"/>
          <w:sz w:val="32"/>
          <w:szCs w:val="32"/>
        </w:rPr>
        <w:t>优化门诊科室布局，改善住院病房条件，推行预约诊疗服务，进一步缩短患者就诊等待时间。</w:t>
      </w:r>
    </w:p>
    <w:p w14:paraId="7262E40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2" w:name="heading_12"/>
      <w:r>
        <w:rPr>
          <w:rFonts w:hint="eastAsia" w:ascii="楷体_GB2312" w:hAnsi="楷体_GB2312" w:eastAsia="楷体_GB2312" w:cs="楷体_GB2312"/>
          <w:b/>
          <w:sz w:val="32"/>
          <w:szCs w:val="32"/>
        </w:rPr>
        <w:t>（三）基本公共卫生服务：巩固成果提质，精准服务群众</w:t>
      </w:r>
      <w:bookmarkEnd w:id="2"/>
    </w:p>
    <w:p w14:paraId="3C53995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1.完善居民健康档案管理：</w:t>
      </w:r>
      <w:r>
        <w:rPr>
          <w:rFonts w:hint="eastAsia" w:ascii="仿宋_GB2312" w:hAnsi="仿宋_GB2312" w:eastAsia="仿宋_GB2312" w:cs="仿宋_GB2312"/>
          <w:sz w:val="32"/>
          <w:szCs w:val="32"/>
        </w:rPr>
        <w:t>提升电子健康档案动态更新率和使用率，确保档案信息真实、准确。</w:t>
      </w:r>
    </w:p>
    <w:p w14:paraId="01AB69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sz w:val="32"/>
          <w:szCs w:val="32"/>
        </w:rPr>
        <w:t>强化重点人群健康管理</w:t>
      </w:r>
    </w:p>
    <w:p w14:paraId="3E2178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Times New Roman" w:hAnsi="Times New Roman" w:eastAsia="仿宋_GB2312" w:cs="Times New Roman"/>
          <w:sz w:val="32"/>
          <w:szCs w:val="32"/>
        </w:rPr>
        <w:t>65</w:t>
      </w:r>
      <w:r>
        <w:rPr>
          <w:rFonts w:hint="eastAsia" w:ascii="仿宋_GB2312" w:hAnsi="仿宋_GB2312" w:eastAsia="仿宋_GB2312" w:cs="仿宋_GB2312"/>
          <w:sz w:val="32"/>
          <w:szCs w:val="32"/>
        </w:rPr>
        <w:t>岁及以上老年人健康管理率稳定在</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以上，高血压、糖尿病规范管理率</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提升至</w:t>
      </w:r>
      <w:r>
        <w:rPr>
          <w:rFonts w:hint="eastAsia" w:ascii="Times New Roman" w:hAnsi="Times New Roman" w:eastAsia="仿宋_GB2312" w:cs="Times New Roman"/>
          <w:sz w:val="32"/>
          <w:szCs w:val="32"/>
          <w:lang w:val="en-US" w:eastAsia="zh-CN"/>
        </w:rPr>
        <w:t>75</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w:t>
      </w:r>
    </w:p>
    <w:p w14:paraId="58343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Times New Roman" w:hAnsi="Times New Roman" w:eastAsia="仿宋_GB2312" w:cs="Times New Roman"/>
          <w:sz w:val="32"/>
          <w:szCs w:val="32"/>
          <w:lang w:eastAsia="zh-CN"/>
        </w:rPr>
        <w:t>0—6</w:t>
      </w:r>
      <w:r>
        <w:rPr>
          <w:rFonts w:hint="eastAsia" w:ascii="仿宋_GB2312" w:hAnsi="仿宋_GB2312" w:eastAsia="仿宋_GB2312" w:cs="仿宋_GB2312"/>
          <w:sz w:val="32"/>
          <w:szCs w:val="32"/>
          <w:lang w:eastAsia="zh-CN"/>
        </w:rPr>
        <w:t>岁</w:t>
      </w:r>
      <w:r>
        <w:rPr>
          <w:rFonts w:hint="eastAsia" w:ascii="仿宋_GB2312" w:hAnsi="仿宋_GB2312" w:eastAsia="仿宋_GB2312" w:cs="仿宋_GB2312"/>
          <w:sz w:val="32"/>
          <w:szCs w:val="32"/>
        </w:rPr>
        <w:t>儿童和孕产妇系统管理，儿童系统管理率保持在</w:t>
      </w:r>
      <w:r>
        <w:rPr>
          <w:rFonts w:hint="eastAsia" w:ascii="Times New Roman" w:hAnsi="Times New Roman" w:eastAsia="仿宋_GB2312" w:cs="Times New Roman"/>
          <w:sz w:val="32"/>
          <w:szCs w:val="32"/>
        </w:rPr>
        <w:t>90%</w:t>
      </w:r>
      <w:r>
        <w:rPr>
          <w:rFonts w:hint="eastAsia" w:ascii="仿宋_GB2312" w:hAnsi="仿宋_GB2312" w:eastAsia="仿宋_GB2312" w:cs="仿宋_GB2312"/>
          <w:sz w:val="32"/>
          <w:szCs w:val="32"/>
        </w:rPr>
        <w:t>以上，孕产妇系统管理率达</w:t>
      </w:r>
      <w:r>
        <w:rPr>
          <w:rFonts w:hint="eastAsia" w:ascii="Times New Roman" w:hAnsi="Times New Roman" w:eastAsia="仿宋_GB2312" w:cs="Times New Roman"/>
          <w:sz w:val="32"/>
          <w:szCs w:val="32"/>
        </w:rPr>
        <w:t>93%</w:t>
      </w:r>
      <w:r>
        <w:rPr>
          <w:rFonts w:hint="eastAsia" w:ascii="仿宋_GB2312" w:hAnsi="仿宋_GB2312" w:eastAsia="仿宋_GB2312" w:cs="仿宋_GB2312"/>
          <w:sz w:val="32"/>
          <w:szCs w:val="32"/>
        </w:rPr>
        <w:t>以上。</w:t>
      </w:r>
    </w:p>
    <w:p w14:paraId="1839B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做好严重精神障碍患者随访评估和分类干预，保持规范管理率、面访率</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w:t>
      </w:r>
    </w:p>
    <w:p w14:paraId="34DDF51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3.优化预防接种服务：</w:t>
      </w:r>
      <w:r>
        <w:rPr>
          <w:rFonts w:hint="eastAsia" w:ascii="仿宋_GB2312" w:hAnsi="仿宋_GB2312" w:eastAsia="仿宋_GB2312" w:cs="仿宋_GB2312"/>
          <w:sz w:val="32"/>
          <w:szCs w:val="32"/>
        </w:rPr>
        <w:t>确保一类疫苗接种率保持在</w:t>
      </w:r>
      <w:r>
        <w:rPr>
          <w:rFonts w:hint="eastAsia" w:ascii="Times New Roman" w:hAnsi="Times New Roman" w:eastAsia="仿宋_GB2312" w:cs="Times New Roman"/>
          <w:sz w:val="32"/>
          <w:szCs w:val="32"/>
        </w:rPr>
        <w:t>96%</w:t>
      </w:r>
      <w:r>
        <w:rPr>
          <w:rFonts w:hint="eastAsia" w:ascii="仿宋_GB2312" w:hAnsi="仿宋_GB2312" w:eastAsia="仿宋_GB2312" w:cs="仿宋_GB2312"/>
          <w:sz w:val="32"/>
          <w:szCs w:val="32"/>
        </w:rPr>
        <w:t>以上，及时接种率达</w:t>
      </w:r>
      <w:r>
        <w:rPr>
          <w:rFonts w:hint="eastAsia" w:ascii="Times New Roman" w:hAnsi="Times New Roman" w:eastAsia="仿宋_GB2312" w:cs="Times New Roman"/>
          <w:sz w:val="32"/>
          <w:szCs w:val="32"/>
        </w:rPr>
        <w:t>90%</w:t>
      </w:r>
      <w:r>
        <w:rPr>
          <w:rFonts w:hint="eastAsia" w:ascii="仿宋_GB2312" w:hAnsi="仿宋_GB2312" w:eastAsia="仿宋_GB2312" w:cs="仿宋_GB2312"/>
          <w:sz w:val="32"/>
          <w:szCs w:val="32"/>
        </w:rPr>
        <w:t>以上。配合上级部门完成预防接种信息化系统升级改造，实现与其他医疗卫生信息系统互联互通。创新宣传方式，利用微信公众号、短视</w:t>
      </w:r>
      <w:r>
        <w:rPr>
          <w:rFonts w:hint="eastAsia" w:ascii="仿宋_GB2312" w:hAnsi="仿宋_GB2312" w:eastAsia="仿宋_GB2312" w:cs="仿宋_GB2312"/>
          <w:sz w:val="32"/>
          <w:szCs w:val="32"/>
          <w:lang w:eastAsia="zh-CN"/>
        </w:rPr>
        <w:t>频等</w:t>
      </w:r>
      <w:r>
        <w:rPr>
          <w:rFonts w:hint="eastAsia" w:ascii="仿宋_GB2312" w:hAnsi="仿宋_GB2312" w:eastAsia="仿宋_GB2312" w:cs="仿宋_GB2312"/>
          <w:sz w:val="32"/>
          <w:szCs w:val="32"/>
        </w:rPr>
        <w:t>平台普及预防接种知识。</w:t>
      </w:r>
    </w:p>
    <w:p w14:paraId="204C833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4.丰富健康教育形式：</w:t>
      </w:r>
      <w:r>
        <w:rPr>
          <w:rFonts w:hint="eastAsia" w:ascii="仿宋_GB2312" w:hAnsi="仿宋_GB2312" w:eastAsia="仿宋_GB2312" w:cs="仿宋_GB2312"/>
          <w:sz w:val="32"/>
          <w:szCs w:val="32"/>
        </w:rPr>
        <w:t>开展针对性强的健康知识讲座和咨询活动，利用新媒体平台推送健康科普内容，提升居民健康素养水平。</w:t>
      </w:r>
    </w:p>
    <w:p w14:paraId="5EB606B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3" w:name="heading_13"/>
      <w:r>
        <w:rPr>
          <w:rFonts w:hint="eastAsia" w:ascii="楷体_GB2312" w:hAnsi="楷体_GB2312" w:eastAsia="楷体_GB2312" w:cs="楷体_GB2312"/>
          <w:b/>
          <w:sz w:val="32"/>
          <w:szCs w:val="32"/>
        </w:rPr>
        <w:t>（四）家庭医生签约服务：提升服务质量，扩大签约</w:t>
      </w:r>
      <w:r>
        <w:rPr>
          <w:rFonts w:hint="eastAsia" w:ascii="楷体_GB2312" w:hAnsi="楷体_GB2312" w:eastAsia="楷体_GB2312" w:cs="楷体_GB2312"/>
          <w:b/>
          <w:sz w:val="32"/>
          <w:szCs w:val="32"/>
          <w:lang w:eastAsia="zh-CN"/>
        </w:rPr>
        <w:t>范围</w:t>
      </w:r>
      <w:bookmarkEnd w:id="3"/>
    </w:p>
    <w:p w14:paraId="31E5A95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1.稳步提升签约覆盖率：</w:t>
      </w:r>
      <w:r>
        <w:rPr>
          <w:rFonts w:hint="eastAsia" w:ascii="仿宋_GB2312" w:hAnsi="仿宋_GB2312" w:eastAsia="仿宋_GB2312" w:cs="仿宋_GB2312"/>
          <w:sz w:val="32"/>
          <w:szCs w:val="32"/>
        </w:rPr>
        <w:t>力争签约覆盖率提升至</w:t>
      </w:r>
      <w:r>
        <w:rPr>
          <w:rFonts w:hint="eastAsia" w:ascii="Times New Roman" w:hAnsi="Times New Roman" w:eastAsia="仿宋_GB2312" w:cs="Times New Roman"/>
          <w:sz w:val="32"/>
          <w:szCs w:val="32"/>
        </w:rPr>
        <w:t>70%</w:t>
      </w:r>
      <w:r>
        <w:rPr>
          <w:rFonts w:hint="eastAsia" w:ascii="仿宋_GB2312" w:hAnsi="仿宋_GB2312" w:eastAsia="仿宋_GB2312" w:cs="仿宋_GB2312"/>
          <w:sz w:val="32"/>
          <w:szCs w:val="32"/>
        </w:rPr>
        <w:t>以上，有偿签约率提升至</w:t>
      </w:r>
      <w:r>
        <w:rPr>
          <w:rFonts w:hint="eastAsia" w:ascii="Times New Roman" w:hAnsi="Times New Roman" w:eastAsia="仿宋_GB2312" w:cs="Times New Roman"/>
          <w:sz w:val="32"/>
          <w:szCs w:val="32"/>
        </w:rPr>
        <w:t>15%</w:t>
      </w:r>
      <w:r>
        <w:rPr>
          <w:rFonts w:hint="eastAsia" w:ascii="仿宋_GB2312" w:hAnsi="仿宋_GB2312" w:eastAsia="仿宋_GB2312" w:cs="仿宋_GB2312"/>
          <w:sz w:val="32"/>
          <w:szCs w:val="32"/>
        </w:rPr>
        <w:t>以上，重点人群签约率保持在</w:t>
      </w:r>
      <w:r>
        <w:rPr>
          <w:rFonts w:hint="eastAsia" w:ascii="Times New Roman" w:hAnsi="Times New Roman" w:eastAsia="仿宋_GB2312" w:cs="Times New Roman"/>
          <w:sz w:val="32"/>
          <w:szCs w:val="32"/>
        </w:rPr>
        <w:t>98%</w:t>
      </w:r>
      <w:r>
        <w:rPr>
          <w:rFonts w:hint="eastAsia" w:ascii="仿宋_GB2312" w:hAnsi="仿宋_GB2312" w:eastAsia="仿宋_GB2312" w:cs="仿宋_GB2312"/>
          <w:sz w:val="32"/>
          <w:szCs w:val="32"/>
        </w:rPr>
        <w:t>以上。</w:t>
      </w:r>
    </w:p>
    <w:p w14:paraId="1B41290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2.优化签约服务内容：</w:t>
      </w:r>
      <w:r>
        <w:rPr>
          <w:rFonts w:hint="eastAsia" w:ascii="仿宋_GB2312" w:hAnsi="仿宋_GB2312" w:eastAsia="仿宋_GB2312" w:cs="仿宋_GB2312"/>
          <w:sz w:val="32"/>
          <w:szCs w:val="32"/>
        </w:rPr>
        <w:t>丰富个性化健康管理服务包，针对老年人、慢性病患者等重点人群，增加上门服务频次和项目，提升服务精准度。</w:t>
      </w:r>
    </w:p>
    <w:p w14:paraId="432318D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3.加强履约服务监管：</w:t>
      </w:r>
      <w:r>
        <w:rPr>
          <w:rFonts w:hint="eastAsia" w:ascii="仿宋_GB2312" w:hAnsi="仿宋_GB2312" w:eastAsia="仿宋_GB2312" w:cs="仿宋_GB2312"/>
          <w:sz w:val="32"/>
          <w:szCs w:val="32"/>
        </w:rPr>
        <w:t>持续落实“一月一调度、一季度一督导考核”模式，确保服务包完成率和项目执行率稳步提升。</w:t>
      </w:r>
    </w:p>
    <w:p w14:paraId="2E78345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4.加大宣传推广力度：</w:t>
      </w:r>
      <w:r>
        <w:rPr>
          <w:rFonts w:hint="eastAsia" w:ascii="仿宋_GB2312" w:hAnsi="仿宋_GB2312" w:eastAsia="仿宋_GB2312" w:cs="仿宋_GB2312"/>
          <w:sz w:val="32"/>
          <w:szCs w:val="32"/>
        </w:rPr>
        <w:t>通过多种渠道宣传家庭医生签约服务的优势和内容，提高群众知晓率和主动签约意愿。</w:t>
      </w:r>
    </w:p>
    <w:p w14:paraId="0204A91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4" w:name="heading_14"/>
      <w:r>
        <w:rPr>
          <w:rFonts w:hint="eastAsia" w:ascii="楷体_GB2312" w:hAnsi="楷体_GB2312" w:eastAsia="楷体_GB2312" w:cs="楷体_GB2312"/>
          <w:b/>
          <w:sz w:val="32"/>
          <w:szCs w:val="32"/>
        </w:rPr>
        <w:t>（五）中医药服务：补齐短板弱项，提升服务能力</w:t>
      </w:r>
      <w:bookmarkEnd w:id="4"/>
    </w:p>
    <w:p w14:paraId="644C154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1.加强人才队伍建设：</w:t>
      </w:r>
      <w:r>
        <w:rPr>
          <w:rFonts w:hint="eastAsia" w:ascii="仿宋_GB2312" w:hAnsi="仿宋_GB2312" w:eastAsia="仿宋_GB2312" w:cs="仿宋_GB2312"/>
          <w:sz w:val="32"/>
          <w:szCs w:val="32"/>
        </w:rPr>
        <w:t>制定中医药人才培养计划，鼓励在职中医师参加继续教育和学术交流。</w:t>
      </w:r>
    </w:p>
    <w:p w14:paraId="6A438F6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.优化科室布局与服务：</w:t>
      </w:r>
      <w:r>
        <w:rPr>
          <w:rFonts w:hint="eastAsia" w:ascii="仿宋_GB2312" w:hAnsi="仿宋_GB2312" w:eastAsia="仿宋_GB2312" w:cs="仿宋_GB2312"/>
          <w:sz w:val="32"/>
          <w:szCs w:val="32"/>
        </w:rPr>
        <w:t>积极争取上级支持，改善中医科就诊环境，扩大科室建筑面积。拓展中医药服务领域，开展中医预防保健、康复护理等服务，满足群众多元化健康需求。</w:t>
      </w:r>
    </w:p>
    <w:p w14:paraId="2DABA9E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.推进信息化建设：</w:t>
      </w:r>
      <w:r>
        <w:rPr>
          <w:rFonts w:hint="eastAsia" w:ascii="仿宋_GB2312" w:hAnsi="仿宋_GB2312" w:eastAsia="仿宋_GB2312" w:cs="仿宋_GB2312"/>
          <w:sz w:val="32"/>
          <w:szCs w:val="32"/>
        </w:rPr>
        <w:t>完善中医电子病历系统，优化中医电子信息采集功能，实现与考核指标精准对接，提升中医药服务管理水平。</w:t>
      </w:r>
    </w:p>
    <w:p w14:paraId="58AB322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5" w:name="heading_15"/>
      <w:r>
        <w:rPr>
          <w:rFonts w:hint="eastAsia" w:ascii="楷体_GB2312" w:hAnsi="楷体_GB2312" w:eastAsia="楷体_GB2312" w:cs="楷体_GB2312"/>
          <w:b/>
          <w:sz w:val="32"/>
          <w:szCs w:val="32"/>
        </w:rPr>
        <w:t>（六）卫生室一体化管理：规范运行机制，强化基层能力</w:t>
      </w:r>
      <w:bookmarkEnd w:id="5"/>
    </w:p>
    <w:p w14:paraId="26D3413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1.深化业务培训：</w:t>
      </w:r>
      <w:r>
        <w:rPr>
          <w:rFonts w:hint="eastAsia" w:ascii="仿宋_GB2312" w:hAnsi="仿宋_GB2312" w:eastAsia="仿宋_GB2312" w:cs="仿宋_GB2312"/>
          <w:sz w:val="32"/>
          <w:szCs w:val="32"/>
        </w:rPr>
        <w:t>制定年度培训计划，实行“季度集中培训+月度专题讲座+不定期实操演练”模式，全年开展村医培训不少于</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次，提升村医诊疗和公共卫生服务能力。</w:t>
      </w:r>
    </w:p>
    <w:p w14:paraId="6F4469F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2.强化常态化监管：</w:t>
      </w:r>
      <w:r>
        <w:rPr>
          <w:rFonts w:hint="eastAsia" w:ascii="仿宋_GB2312" w:hAnsi="仿宋_GB2312" w:eastAsia="仿宋_GB2312" w:cs="仿宋_GB2312"/>
          <w:sz w:val="32"/>
          <w:szCs w:val="32"/>
        </w:rPr>
        <w:t>对村卫生室药房开展年度全覆盖检查不少于</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次，不定期抽查不少于</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次，确保药品采购、储存、效期管理规范。加强村卫生室医疗质量和服务行为监管，保障基层医疗安全。</w:t>
      </w:r>
    </w:p>
    <w:p w14:paraId="3D97025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3.优化绩效考核方案：</w:t>
      </w:r>
      <w:r>
        <w:rPr>
          <w:rFonts w:hint="eastAsia" w:ascii="仿宋_GB2312" w:hAnsi="仿宋_GB2312" w:eastAsia="仿宋_GB2312" w:cs="仿宋_GB2312"/>
          <w:sz w:val="32"/>
          <w:szCs w:val="32"/>
        </w:rPr>
        <w:t>突出服务质量和群众满意度考核权重，完善考核指标体系，充分发挥绩效激励作用，调动村医工作积极性。</w:t>
      </w:r>
    </w:p>
    <w:p w14:paraId="165C81C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4.提升基层服务能力：</w:t>
      </w:r>
      <w:r>
        <w:rPr>
          <w:rFonts w:hint="eastAsia" w:ascii="仿宋_GB2312" w:hAnsi="仿宋_GB2312" w:eastAsia="仿宋_GB2312" w:cs="仿宋_GB2312"/>
          <w:sz w:val="32"/>
          <w:szCs w:val="32"/>
        </w:rPr>
        <w:t>针对培训和监管中发现的问题，指导村卫生室改进工作，推动基层医疗卫生服务能力持续提升。</w:t>
      </w:r>
    </w:p>
    <w:p w14:paraId="1F005BB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1"/>
        <w:rPr>
          <w:rFonts w:hint="eastAsia" w:ascii="楷体_GB2312" w:hAnsi="楷体_GB2312" w:eastAsia="楷体_GB2312" w:cs="楷体_GB2312"/>
          <w:b/>
          <w:sz w:val="32"/>
          <w:szCs w:val="32"/>
        </w:rPr>
      </w:pPr>
      <w:bookmarkStart w:id="6" w:name="heading_16"/>
      <w:r>
        <w:rPr>
          <w:rFonts w:hint="eastAsia" w:ascii="楷体_GB2312" w:hAnsi="楷体_GB2312" w:eastAsia="楷体_GB2312" w:cs="楷体_GB2312"/>
          <w:b/>
          <w:sz w:val="32"/>
          <w:szCs w:val="32"/>
        </w:rPr>
        <w:t>（七）平安医院建设：深化精细管理，筑牢安全屏障</w:t>
      </w:r>
      <w:bookmarkEnd w:id="6"/>
    </w:p>
    <w:p w14:paraId="6716C95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1.推进智慧安防建设：</w:t>
      </w:r>
      <w:r>
        <w:rPr>
          <w:rFonts w:hint="eastAsia" w:ascii="仿宋_GB2312" w:hAnsi="仿宋_GB2312" w:eastAsia="仿宋_GB2312" w:cs="仿宋_GB2312"/>
          <w:sz w:val="32"/>
          <w:szCs w:val="32"/>
        </w:rPr>
        <w:t>升级完善监控系统功能，探索智慧安防新模式，实现重点区域风险实时预警。</w:t>
      </w:r>
    </w:p>
    <w:p w14:paraId="61262B5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2.加强消防安全管理：</w:t>
      </w:r>
      <w:r>
        <w:rPr>
          <w:rFonts w:hint="eastAsia" w:ascii="仿宋_GB2312" w:hAnsi="仿宋_GB2312" w:eastAsia="仿宋_GB2312" w:cs="仿宋_GB2312"/>
          <w:sz w:val="32"/>
          <w:szCs w:val="32"/>
        </w:rPr>
        <w:t>全年开展消防知识培训不少于</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次、消防演练不少于</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次，加强特殊岗位人员消防技能专项培训，确保消防设施完好率</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w:t>
      </w:r>
    </w:p>
    <w:p w14:paraId="21303CA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3.提升医患沟通能力：</w:t>
      </w:r>
      <w:r>
        <w:rPr>
          <w:rFonts w:hint="eastAsia" w:ascii="仿宋_GB2312" w:hAnsi="仿宋_GB2312" w:eastAsia="仿宋_GB2312" w:cs="仿宋_GB2312"/>
          <w:sz w:val="32"/>
          <w:szCs w:val="32"/>
        </w:rPr>
        <w:t>持续开展医患沟通培训，优化投诉处理流程，建立医患纠纷多元化解机制，患者满意度</w:t>
      </w:r>
      <w:r>
        <w:rPr>
          <w:rFonts w:hint="eastAsia" w:ascii="仿宋_GB2312" w:hAnsi="仿宋_GB2312" w:eastAsia="仿宋_GB2312" w:cs="仿宋_GB2312"/>
          <w:sz w:val="32"/>
          <w:szCs w:val="32"/>
          <w:lang w:val="en-US" w:eastAsia="zh-CN"/>
        </w:rPr>
        <w:t>不断提升</w:t>
      </w:r>
      <w:r>
        <w:rPr>
          <w:rFonts w:hint="eastAsia" w:ascii="仿宋_GB2312" w:hAnsi="仿宋_GB2312" w:eastAsia="仿宋_GB2312" w:cs="仿宋_GB2312"/>
          <w:sz w:val="32"/>
          <w:szCs w:val="32"/>
        </w:rPr>
        <w:t>。</w:t>
      </w:r>
    </w:p>
    <w:p w14:paraId="6607134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4.强化隐患排查治理：</w:t>
      </w:r>
      <w:r>
        <w:rPr>
          <w:rFonts w:hint="eastAsia" w:ascii="仿宋_GB2312" w:hAnsi="仿宋_GB2312" w:eastAsia="仿宋_GB2312" w:cs="仿宋_GB2312"/>
          <w:sz w:val="32"/>
          <w:szCs w:val="32"/>
        </w:rPr>
        <w:t>巩固安全隐患排查长效机制，每月开展专项排查，细化医疗废物处置、特种设备运行等重点领域排查清单，做到隐患闭环管理。</w:t>
      </w:r>
    </w:p>
    <w:p w14:paraId="51E5706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5.深化警医联动机制：</w:t>
      </w:r>
      <w:r>
        <w:rPr>
          <w:rFonts w:hint="eastAsia" w:ascii="仿宋_GB2312" w:hAnsi="仿宋_GB2312" w:eastAsia="仿宋_GB2312" w:cs="仿宋_GB2312"/>
          <w:sz w:val="32"/>
          <w:szCs w:val="32"/>
        </w:rPr>
        <w:t>加强安保人员业务培训，提升应急处突能力。联合辖区派出所加大对扰乱医疗秩序行为的处置力度，维护诊疗秩序稳定。</w:t>
      </w:r>
    </w:p>
    <w:p w14:paraId="7B91A2C6"/>
    <w:p w14:paraId="24AB0C47">
      <w:pPr>
        <w:pStyle w:val="5"/>
        <w:adjustRightInd w:val="0"/>
        <w:snapToGrid w:val="0"/>
        <w:spacing w:line="560" w:lineRule="exact"/>
        <w:jc w:val="center"/>
        <w:rPr>
          <w:rFonts w:hint="eastAsia" w:ascii="TimesNewRoman" w:hAnsi="TimesNewRoman" w:eastAsia="黑体" w:cs="TimesNewRoman"/>
          <w:bCs/>
          <w:sz w:val="36"/>
          <w:szCs w:val="36"/>
        </w:rPr>
      </w:pPr>
    </w:p>
    <w:p w14:paraId="5516D3F0">
      <w:pPr>
        <w:pStyle w:val="5"/>
        <w:adjustRightInd w:val="0"/>
        <w:snapToGrid w:val="0"/>
        <w:spacing w:line="560" w:lineRule="exact"/>
        <w:jc w:val="center"/>
        <w:rPr>
          <w:rFonts w:hint="eastAsia" w:ascii="TimesNewRoman" w:hAnsi="TimesNewRoman" w:eastAsia="黑体" w:cs="TimesNewRoman"/>
          <w:bCs/>
          <w:sz w:val="36"/>
          <w:szCs w:val="36"/>
        </w:rPr>
      </w:pPr>
    </w:p>
    <w:p w14:paraId="28F575CE">
      <w:pPr>
        <w:pStyle w:val="5"/>
        <w:adjustRightInd w:val="0"/>
        <w:snapToGrid w:val="0"/>
        <w:spacing w:line="560" w:lineRule="exact"/>
        <w:jc w:val="center"/>
        <w:rPr>
          <w:rFonts w:hint="eastAsia" w:ascii="TimesNewRoman" w:hAnsi="TimesNewRoman" w:eastAsia="黑体" w:cs="TimesNewRoman"/>
          <w:bCs/>
          <w:sz w:val="36"/>
          <w:szCs w:val="36"/>
        </w:rPr>
      </w:pPr>
    </w:p>
    <w:p w14:paraId="6F77F9F3">
      <w:pPr>
        <w:pStyle w:val="5"/>
        <w:adjustRightInd w:val="0"/>
        <w:snapToGrid w:val="0"/>
        <w:spacing w:line="560" w:lineRule="exact"/>
        <w:jc w:val="center"/>
        <w:rPr>
          <w:rFonts w:hint="eastAsia" w:ascii="TimesNewRoman" w:hAnsi="TimesNewRoman" w:eastAsia="黑体" w:cs="TimesNewRoman"/>
          <w:bCs/>
          <w:sz w:val="36"/>
          <w:szCs w:val="36"/>
        </w:rPr>
      </w:pPr>
    </w:p>
    <w:p w14:paraId="52F0EA3D">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0F0261B3">
      <w:pPr>
        <w:pStyle w:val="5"/>
        <w:adjustRightInd w:val="0"/>
        <w:snapToGrid w:val="0"/>
        <w:spacing w:line="560" w:lineRule="exact"/>
        <w:ind w:firstLine="627" w:firstLineChars="196"/>
        <w:jc w:val="center"/>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见附件</w:t>
      </w:r>
      <w:r>
        <w:rPr>
          <w:rFonts w:hint="eastAsia" w:ascii="TimesNewRoman" w:hAnsi="TimesNewRoman" w:eastAsia="仿宋_GB2312" w:cs="TimesNewRoman"/>
          <w:bCs/>
          <w:sz w:val="32"/>
          <w:szCs w:val="32"/>
          <w:lang w:val="en-US" w:eastAsia="zh-CN"/>
        </w:rPr>
        <w:t>1-2：部门</w:t>
      </w:r>
      <w:r>
        <w:rPr>
          <w:rFonts w:hint="eastAsia" w:ascii="TimesNewRoman" w:hAnsi="TimesNewRoman" w:eastAsia="仿宋_GB2312" w:cs="TimesNewRoman"/>
          <w:bCs/>
          <w:sz w:val="32"/>
          <w:szCs w:val="32"/>
        </w:rPr>
        <w:t>预算公开表</w:t>
      </w:r>
    </w:p>
    <w:p w14:paraId="2D0C2C7F">
      <w:pPr>
        <w:pStyle w:val="5"/>
        <w:adjustRightInd w:val="0"/>
        <w:snapToGrid w:val="0"/>
        <w:spacing w:line="560" w:lineRule="exact"/>
        <w:ind w:firstLine="470" w:firstLineChars="196"/>
        <w:jc w:val="center"/>
      </w:pPr>
      <w:r>
        <w:t xml:space="preserve">                   </w:t>
      </w:r>
    </w:p>
    <w:p w14:paraId="2CEFCEE0">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387E301D"/>
    <w:p w14:paraId="437BF887">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烈山区宋疃镇卫生院</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宋疃镇卫生院</w:t>
      </w:r>
      <w:r>
        <w:rPr>
          <w:rFonts w:hint="eastAsia" w:ascii="TimesNewRoman" w:hAnsi="TimesNewRoman" w:eastAsia="仿宋_GB2312" w:cs="TimesNewRoman"/>
          <w:sz w:val="32"/>
          <w:szCs w:val="32"/>
        </w:rPr>
        <w:t>预算管理。淮北市</w:t>
      </w:r>
      <w:r>
        <w:rPr>
          <w:rFonts w:hint="eastAsia" w:ascii="TimesNewRoman" w:hAnsi="TimesNewRoman" w:eastAsia="仿宋_GB2312" w:cs="TimesNewRoman"/>
          <w:sz w:val="32"/>
          <w:szCs w:val="32"/>
          <w:lang w:eastAsia="zh-CN"/>
        </w:rPr>
        <w:t>烈山区宋疃镇卫生院2026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1285.45</w:t>
      </w:r>
      <w:r>
        <w:rPr>
          <w:rFonts w:hint="eastAsia" w:ascii="TimesNewRoman" w:hAnsi="TimesNewRoman" w:eastAsia="仿宋_GB2312" w:cs="TimesNewRoman"/>
          <w:sz w:val="32"/>
          <w:szCs w:val="32"/>
        </w:rPr>
        <w:t>万元，收入包括</w:t>
      </w:r>
      <w:r>
        <w:rPr>
          <w:rFonts w:hint="eastAsia" w:ascii="TimesNewRoman" w:hAnsi="TimesNewRoman" w:eastAsia="仿宋_GB2312" w:cs="TimesNewRoman"/>
          <w:sz w:val="32"/>
          <w:szCs w:val="32"/>
          <w:lang w:eastAsia="zh-CN"/>
        </w:rPr>
        <w:t>一般公共预算财政拨款</w:t>
      </w:r>
      <w:r>
        <w:rPr>
          <w:rFonts w:hint="eastAsia"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885.45万元，事业收入400万元，</w:t>
      </w:r>
      <w:r>
        <w:rPr>
          <w:rFonts w:hint="eastAsia"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179.29万元</w:t>
      </w:r>
      <w:r>
        <w:rPr>
          <w:rFonts w:hint="eastAsia"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984.22万元</w:t>
      </w:r>
      <w:r>
        <w:rPr>
          <w:rFonts w:hint="eastAsia"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121.93万元</w:t>
      </w:r>
      <w:r>
        <w:rPr>
          <w:rFonts w:hint="eastAsia" w:ascii="TimesNewRoman" w:hAnsi="TimesNewRoman" w:eastAsia="仿宋_GB2312" w:cs="TimesNewRoman"/>
          <w:sz w:val="32"/>
          <w:szCs w:val="32"/>
        </w:rPr>
        <w:t>。</w:t>
      </w:r>
    </w:p>
    <w:p w14:paraId="25CF77E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1285.45</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1285.45</w:t>
      </w:r>
      <w:r>
        <w:rPr>
          <w:rFonts w:hint="eastAsia" w:ascii="TimesNewRoman" w:hAnsi="TimesNewRoman" w:eastAsia="仿宋_GB2312" w:cs="TimesNewRoman"/>
          <w:kern w:val="0"/>
          <w:sz w:val="32"/>
          <w:szCs w:val="32"/>
        </w:rPr>
        <w:t>万元。</w:t>
      </w:r>
    </w:p>
    <w:p w14:paraId="54BEC45D">
      <w:pPr>
        <w:ind w:firstLine="643"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1285.45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kern w:val="0"/>
          <w:sz w:val="32"/>
          <w:szCs w:val="32"/>
          <w:lang w:val="en-US" w:eastAsia="zh-CN"/>
        </w:rPr>
        <w:t>885.45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68.88</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32.74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3.83</w:t>
      </w:r>
      <w:r>
        <w:rPr>
          <w:rFonts w:hint="eastAsia" w:ascii="TimesNewRoman" w:hAnsi="TimesNewRoman" w:eastAsia="仿宋_GB2312" w:cs="TimesNewRoman"/>
          <w:kern w:val="0"/>
          <w:sz w:val="32"/>
          <w:szCs w:val="32"/>
        </w:rPr>
        <w:t>%，原因主要是</w:t>
      </w:r>
      <w:r>
        <w:rPr>
          <w:rFonts w:hint="eastAsia" w:ascii="仿宋_GB2312" w:hAnsi="仿宋" w:eastAsia="仿宋_GB2312" w:cs="仿宋"/>
          <w:sz w:val="32"/>
          <w:szCs w:val="32"/>
        </w:rPr>
        <w:t>工资及社保基数增加</w:t>
      </w:r>
      <w:r>
        <w:rPr>
          <w:rFonts w:hint="eastAsia" w:ascii="仿宋_GB2312" w:hAnsi="仿宋" w:eastAsia="仿宋_GB2312" w:cs="仿宋"/>
          <w:sz w:val="32"/>
          <w:szCs w:val="32"/>
          <w:lang w:eastAsia="zh-CN"/>
        </w:rPr>
        <w:t>，项目经费增加，提租补贴增加</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ascii="仿宋_GB2312" w:hAnsi="宋体" w:eastAsia="仿宋_GB2312" w:cs="仿宋_GB2312"/>
          <w:color w:val="000000"/>
          <w:sz w:val="32"/>
          <w:szCs w:val="32"/>
        </w:rPr>
        <w:t>2025年和2024年都没有政府性基金预算拨款收入</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ascii="仿宋_GB2312" w:hAnsi="宋体" w:eastAsia="仿宋_GB2312" w:cs="仿宋_GB2312"/>
          <w:color w:val="000000"/>
          <w:sz w:val="32"/>
          <w:szCs w:val="32"/>
        </w:rPr>
        <w:t>2025年和2024年都没有财政专户管理资金收入</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事业收入</w:t>
      </w:r>
      <w:r>
        <w:rPr>
          <w:rFonts w:hint="eastAsia" w:ascii="TimesNewRoman" w:hAnsi="TimesNewRoman" w:eastAsia="仿宋_GB2312" w:cs="TimesNewRoman"/>
          <w:kern w:val="0"/>
          <w:sz w:val="32"/>
          <w:szCs w:val="32"/>
          <w:lang w:val="en-US" w:eastAsia="zh-CN"/>
        </w:rPr>
        <w:t>400万</w:t>
      </w:r>
      <w:r>
        <w:rPr>
          <w:rFonts w:hint="eastAsia" w:ascii="仿宋_GB2312" w:hAnsi="宋体" w:eastAsia="仿宋_GB2312" w:cs="仿宋_GB2312"/>
          <w:color w:val="000000"/>
          <w:sz w:val="32"/>
          <w:szCs w:val="32"/>
          <w:lang w:val="en-US" w:eastAsia="zh-CN"/>
        </w:rPr>
        <w:t>元，</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31.12</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90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18.37</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auto"/>
          <w:kern w:val="0"/>
          <w:sz w:val="32"/>
          <w:szCs w:val="32"/>
        </w:rPr>
        <w:t>原因主要是</w:t>
      </w:r>
      <w:r>
        <w:rPr>
          <w:rFonts w:hint="eastAsia" w:ascii="TimesNewRoman" w:hAnsi="TimesNewRoman" w:eastAsia="仿宋_GB2312" w:cs="TimesNewRoman"/>
          <w:color w:val="auto"/>
          <w:kern w:val="0"/>
          <w:sz w:val="32"/>
          <w:szCs w:val="32"/>
          <w:lang w:eastAsia="zh-CN"/>
        </w:rPr>
        <w:t>医疗收入减少</w:t>
      </w:r>
      <w:r>
        <w:rPr>
          <w:rFonts w:hint="eastAsia" w:ascii="TimesNewRoman" w:hAnsi="TimesNewRoman" w:eastAsia="仿宋_GB2312" w:cs="TimesNewRoman"/>
          <w:color w:val="auto"/>
          <w:kern w:val="0"/>
          <w:sz w:val="32"/>
          <w:szCs w:val="32"/>
        </w:rPr>
        <w:t>。</w:t>
      </w:r>
    </w:p>
    <w:p w14:paraId="0F1AB234">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1285.45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57.26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4.26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收入减少</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852.46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66.32</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432.98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33.68</w:t>
      </w:r>
      <w:r>
        <w:rPr>
          <w:rFonts w:hint="eastAsia" w:ascii="TimesNewRoman" w:hAnsi="TimesNewRoman" w:eastAsia="仿宋_GB2312" w:cs="TimesNewRoman"/>
          <w:kern w:val="0"/>
          <w:sz w:val="32"/>
          <w:szCs w:val="32"/>
        </w:rPr>
        <w:t>%，主要用于</w:t>
      </w:r>
      <w:r>
        <w:rPr>
          <w:rFonts w:hint="eastAsia" w:ascii="仿宋" w:hAnsi="仿宋" w:eastAsia="仿宋" w:cs="仿宋"/>
          <w:color w:val="0C0C0C"/>
          <w:sz w:val="32"/>
          <w:szCs w:val="32"/>
        </w:rPr>
        <w:t>保障卫生院正常运转支出</w:t>
      </w:r>
      <w:r>
        <w:rPr>
          <w:rFonts w:hint="eastAsia" w:ascii="TimesNewRoman" w:hAnsi="TimesNewRoman" w:eastAsia="仿宋_GB2312" w:cs="TimesNewRoman"/>
          <w:kern w:val="0"/>
          <w:sz w:val="32"/>
          <w:szCs w:val="32"/>
        </w:rPr>
        <w:t>。</w:t>
      </w:r>
    </w:p>
    <w:p w14:paraId="1122B57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885.45</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lang w:val="en-US" w:eastAsia="zh-CN"/>
        </w:rPr>
        <w:t>885.45</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885.45</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179.29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20.25</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584.22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65.98</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121.93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13.77</w:t>
      </w:r>
      <w:r>
        <w:rPr>
          <w:rFonts w:hint="eastAsia" w:ascii="TimesNewRoman" w:hAnsi="TimesNewRoman" w:eastAsia="仿宋_GB2312" w:cs="TimesNewRoman"/>
          <w:kern w:val="0"/>
          <w:sz w:val="32"/>
          <w:szCs w:val="32"/>
        </w:rPr>
        <w:t>%。</w:t>
      </w:r>
    </w:p>
    <w:p w14:paraId="0F14C648">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885.45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32.74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3.83</w:t>
      </w:r>
      <w:r>
        <w:rPr>
          <w:rFonts w:hint="eastAsia" w:ascii="TimesNewRoman" w:hAnsi="TimesNewRoman" w:eastAsia="仿宋_GB2312" w:cs="TimesNewRoman"/>
          <w:kern w:val="0"/>
          <w:sz w:val="32"/>
          <w:szCs w:val="32"/>
        </w:rPr>
        <w:t>%，主要原因：一是</w:t>
      </w:r>
      <w:r>
        <w:rPr>
          <w:rFonts w:hint="eastAsia" w:ascii="仿宋_GB2312" w:hAnsi="宋体" w:eastAsia="仿宋_GB2312" w:cs="宋体"/>
          <w:sz w:val="32"/>
          <w:szCs w:val="32"/>
        </w:rPr>
        <w:t>工资及社保基数增加</w:t>
      </w:r>
      <w:r>
        <w:rPr>
          <w:rFonts w:hint="eastAsia" w:ascii="TimesNewRoman" w:hAnsi="TimesNewRoman" w:eastAsia="仿宋_GB2312" w:cs="TimesNewRoman"/>
          <w:kern w:val="0"/>
          <w:sz w:val="32"/>
          <w:szCs w:val="32"/>
        </w:rPr>
        <w:t>；二是</w:t>
      </w:r>
      <w:r>
        <w:rPr>
          <w:rFonts w:hint="eastAsia" w:ascii="仿宋_GB2312" w:hAnsi="仿宋" w:eastAsia="仿宋_GB2312" w:cs="仿宋"/>
          <w:sz w:val="32"/>
          <w:szCs w:val="32"/>
          <w:lang w:eastAsia="zh-CN"/>
        </w:rPr>
        <w:t>提租补贴增加</w:t>
      </w:r>
      <w:r>
        <w:rPr>
          <w:rFonts w:hint="eastAsia" w:ascii="TimesNewRoman" w:hAnsi="TimesNewRoman" w:eastAsia="仿宋_GB2312" w:cs="TimesNewRoman"/>
          <w:kern w:val="0"/>
          <w:sz w:val="32"/>
          <w:szCs w:val="32"/>
        </w:rPr>
        <w:t>。</w:t>
      </w:r>
    </w:p>
    <w:p w14:paraId="0BD2EE82">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179.29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20.25</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584.22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65.98</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121.93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13.77</w:t>
      </w:r>
      <w:r>
        <w:rPr>
          <w:rFonts w:hint="eastAsia" w:ascii="TimesNewRoman" w:hAnsi="TimesNewRoman" w:eastAsia="仿宋_GB2312" w:cs="TimesNewRoman"/>
          <w:kern w:val="0"/>
          <w:sz w:val="32"/>
          <w:szCs w:val="32"/>
        </w:rPr>
        <w:t>%。</w:t>
      </w:r>
    </w:p>
    <w:p w14:paraId="458E2EC2">
      <w:pPr>
        <w:pStyle w:val="5"/>
        <w:numPr>
          <w:ilvl w:val="0"/>
          <w:numId w:val="1"/>
        </w:numPr>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一般公共预算支出具体使用情况。</w:t>
      </w:r>
    </w:p>
    <w:p w14:paraId="27E297B2">
      <w:pPr>
        <w:ind w:firstLine="643" w:firstLineChars="200"/>
        <w:rPr>
          <w:rFonts w:ascii="TimesNewRoman" w:hAnsi="TimesNewRoman" w:eastAsia="仿宋_GB2312" w:cs="TimesNewRoman"/>
          <w:kern w:val="0"/>
          <w:sz w:val="32"/>
          <w:szCs w:val="32"/>
        </w:rPr>
      </w:pPr>
      <w:r>
        <w:rPr>
          <w:rFonts w:hint="eastAsia" w:ascii="TimesNewRoman" w:hAnsi="TimesNewRoman" w:eastAsia="楷体_GB2312" w:cs="TimesNewRoman"/>
          <w:b/>
          <w:sz w:val="32"/>
          <w:szCs w:val="32"/>
          <w:lang w:val="en-US" w:eastAsia="zh-CN"/>
        </w:rPr>
        <w:t xml:space="preserve"> 1.</w:t>
      </w:r>
      <w:r>
        <w:rPr>
          <w:rFonts w:hint="eastAsia" w:ascii="TimesNewRoman" w:hAnsi="TimesNewRoman" w:eastAsia="仿宋_GB2312" w:cs="TimesNewRoman"/>
          <w:kern w:val="0"/>
          <w:sz w:val="32"/>
          <w:szCs w:val="32"/>
        </w:rPr>
        <w:t>社会保障和就业支出（类）行政事业单位</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（款）事业单位离退休（项）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85.75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8.05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10.36</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原因主要是</w:t>
      </w:r>
      <w:r>
        <w:rPr>
          <w:rFonts w:hint="eastAsia" w:ascii="仿宋" w:hAnsi="仿宋" w:eastAsia="仿宋" w:cs="仿宋"/>
          <w:sz w:val="32"/>
          <w:szCs w:val="32"/>
        </w:rPr>
        <w:t>退休人员增加基础绩效奖</w:t>
      </w:r>
      <w:r>
        <w:rPr>
          <w:rFonts w:hint="eastAsia" w:ascii="仿宋" w:hAnsi="仿宋" w:eastAsia="仿宋" w:cs="仿宋"/>
          <w:sz w:val="32"/>
          <w:szCs w:val="32"/>
          <w:lang w:eastAsia="zh-CN"/>
        </w:rPr>
        <w:t>、增加提租补贴</w:t>
      </w:r>
      <w:r>
        <w:rPr>
          <w:rFonts w:hint="eastAsia" w:ascii="TimesNewRoman" w:hAnsi="TimesNewRoman" w:eastAsia="仿宋_GB2312" w:cs="TimesNewRoman"/>
          <w:kern w:val="0"/>
          <w:sz w:val="32"/>
          <w:szCs w:val="32"/>
        </w:rPr>
        <w:t>。</w:t>
      </w:r>
    </w:p>
    <w:p w14:paraId="37182B2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社会保障和就业支出（类）行政事业单位</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机关</w:t>
      </w:r>
      <w:r>
        <w:rPr>
          <w:rFonts w:hint="eastAsia" w:ascii="TimesNewRoman" w:hAnsi="TimesNewRoman" w:eastAsia="仿宋_GB2312" w:cs="TimesNewRoman"/>
          <w:kern w:val="0"/>
          <w:sz w:val="32"/>
          <w:szCs w:val="32"/>
        </w:rPr>
        <w:t>事业单位</w:t>
      </w:r>
      <w:r>
        <w:rPr>
          <w:rFonts w:hint="eastAsia" w:ascii="TimesNewRoman" w:hAnsi="TimesNewRoman" w:eastAsia="仿宋_GB2312" w:cs="TimesNewRoman"/>
          <w:kern w:val="0"/>
          <w:sz w:val="32"/>
          <w:szCs w:val="32"/>
          <w:lang w:eastAsia="zh-CN"/>
        </w:rPr>
        <w:t>基本养老保险费支出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60.05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1.21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2.06</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原因主要是</w:t>
      </w:r>
      <w:r>
        <w:rPr>
          <w:rFonts w:hint="eastAsia" w:ascii="仿宋" w:hAnsi="仿宋" w:eastAsia="仿宋" w:cs="仿宋"/>
          <w:sz w:val="32"/>
          <w:szCs w:val="32"/>
        </w:rPr>
        <w:t>社保基数</w:t>
      </w:r>
      <w:r>
        <w:rPr>
          <w:rFonts w:hint="eastAsia" w:ascii="仿宋" w:hAnsi="仿宋" w:eastAsia="仿宋" w:cs="仿宋"/>
          <w:sz w:val="32"/>
          <w:szCs w:val="32"/>
          <w:lang w:eastAsia="zh-CN"/>
        </w:rPr>
        <w:t>调整</w:t>
      </w:r>
      <w:r>
        <w:rPr>
          <w:rFonts w:hint="eastAsia" w:ascii="TimesNewRoman" w:hAnsi="TimesNewRoman" w:eastAsia="仿宋_GB2312" w:cs="TimesNewRoman"/>
          <w:kern w:val="0"/>
          <w:sz w:val="32"/>
          <w:szCs w:val="32"/>
        </w:rPr>
        <w:t>。</w:t>
      </w:r>
    </w:p>
    <w:p w14:paraId="259A336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社会保障和就业支出（类）</w:t>
      </w:r>
      <w:r>
        <w:rPr>
          <w:rFonts w:hint="eastAsia" w:ascii="仿宋" w:hAnsi="仿宋" w:eastAsia="仿宋" w:cs="仿宋"/>
          <w:b w:val="0"/>
          <w:bCs/>
          <w:sz w:val="32"/>
          <w:szCs w:val="32"/>
        </w:rPr>
        <w:t>行政事业单位离退休</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机关</w:t>
      </w:r>
      <w:r>
        <w:rPr>
          <w:rFonts w:hint="eastAsia" w:ascii="TimesNewRoman" w:hAnsi="TimesNewRoman" w:eastAsia="仿宋_GB2312" w:cs="TimesNewRoman"/>
          <w:kern w:val="0"/>
          <w:sz w:val="32"/>
          <w:szCs w:val="32"/>
        </w:rPr>
        <w:t>事业单位</w:t>
      </w:r>
      <w:r>
        <w:rPr>
          <w:rFonts w:hint="eastAsia" w:ascii="TimesNewRoman" w:hAnsi="TimesNewRoman" w:eastAsia="仿宋_GB2312" w:cs="TimesNewRoman"/>
          <w:kern w:val="0"/>
          <w:sz w:val="32"/>
          <w:szCs w:val="32"/>
          <w:lang w:eastAsia="zh-CN"/>
        </w:rPr>
        <w:t>职业年金缴费支出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30.02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0.6</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2.04</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原因主要是</w:t>
      </w:r>
      <w:r>
        <w:rPr>
          <w:rFonts w:hint="eastAsia" w:ascii="仿宋" w:hAnsi="仿宋" w:eastAsia="仿宋" w:cs="仿宋"/>
          <w:sz w:val="32"/>
          <w:szCs w:val="32"/>
        </w:rPr>
        <w:t>社保基数</w:t>
      </w:r>
      <w:r>
        <w:rPr>
          <w:rFonts w:hint="eastAsia" w:ascii="仿宋" w:hAnsi="仿宋" w:eastAsia="仿宋" w:cs="仿宋"/>
          <w:sz w:val="32"/>
          <w:szCs w:val="32"/>
          <w:lang w:eastAsia="zh-CN"/>
        </w:rPr>
        <w:t>调整</w:t>
      </w:r>
      <w:r>
        <w:rPr>
          <w:rFonts w:hint="eastAsia" w:ascii="TimesNewRoman" w:hAnsi="TimesNewRoman" w:eastAsia="仿宋_GB2312" w:cs="TimesNewRoman"/>
          <w:kern w:val="0"/>
          <w:sz w:val="32"/>
          <w:szCs w:val="32"/>
        </w:rPr>
        <w:t>。</w:t>
      </w:r>
    </w:p>
    <w:p w14:paraId="1B9B6E8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w:t>
      </w:r>
      <w:r>
        <w:rPr>
          <w:rFonts w:hint="eastAsia" w:ascii="仿宋_GB2312" w:hAnsi="仿宋_GB2312" w:eastAsia="仿宋_GB2312" w:cs="仿宋_GB2312"/>
          <w:b w:val="0"/>
          <w:bCs/>
          <w:color w:val="000000"/>
          <w:sz w:val="32"/>
          <w:szCs w:val="32"/>
        </w:rPr>
        <w:t>其他社会保障和就业支出</w:t>
      </w:r>
      <w:r>
        <w:rPr>
          <w:rFonts w:hint="eastAsia" w:ascii="仿宋_GB2312" w:hAnsi="仿宋_GB2312" w:eastAsia="仿宋_GB2312" w:cs="仿宋_GB2312"/>
          <w:kern w:val="0"/>
          <w:sz w:val="32"/>
          <w:szCs w:val="32"/>
        </w:rPr>
        <w:t>（款</w:t>
      </w:r>
      <w:r>
        <w:rPr>
          <w:rFonts w:hint="eastAsia" w:ascii="TimesNewRoman" w:hAnsi="TimesNewRoman" w:eastAsia="仿宋_GB2312" w:cs="TimesNewRoman"/>
          <w:kern w:val="0"/>
          <w:sz w:val="32"/>
          <w:szCs w:val="32"/>
        </w:rPr>
        <w:t>）</w:t>
      </w:r>
      <w:r>
        <w:rPr>
          <w:rFonts w:hint="eastAsia" w:ascii="仿宋_GB2312" w:hAnsi="仿宋_GB2312" w:eastAsia="仿宋_GB2312" w:cs="仿宋_GB2312"/>
          <w:b w:val="0"/>
          <w:bCs/>
          <w:color w:val="000000"/>
          <w:sz w:val="32"/>
          <w:szCs w:val="32"/>
        </w:rPr>
        <w:t>其他社会保障和就业支出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3.47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118061D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卫生健康</w:t>
      </w:r>
      <w:r>
        <w:rPr>
          <w:rFonts w:hint="eastAsia" w:ascii="TimesNewRoman" w:hAnsi="TimesNewRoman" w:eastAsia="仿宋_GB2312" w:cs="TimesNewRoman"/>
          <w:kern w:val="0"/>
          <w:sz w:val="32"/>
          <w:szCs w:val="32"/>
        </w:rPr>
        <w:t>支出（类）</w:t>
      </w:r>
      <w:r>
        <w:rPr>
          <w:rFonts w:hint="eastAsia" w:ascii="仿宋_GB2312" w:hAnsi="仿宋_GB2312" w:eastAsia="仿宋_GB2312" w:cs="仿宋_GB2312"/>
          <w:b w:val="0"/>
          <w:bCs/>
          <w:color w:val="000000"/>
          <w:sz w:val="32"/>
          <w:szCs w:val="32"/>
          <w:lang w:eastAsia="zh-CN"/>
        </w:rPr>
        <w:t>基层医疗机构</w:t>
      </w:r>
      <w:r>
        <w:rPr>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kern w:val="0"/>
          <w:sz w:val="32"/>
          <w:szCs w:val="32"/>
        </w:rPr>
        <w:t>（款</w:t>
      </w:r>
      <w:r>
        <w:rPr>
          <w:rFonts w:hint="eastAsia" w:ascii="TimesNewRoman" w:hAnsi="TimesNewRoman" w:eastAsia="仿宋_GB2312" w:cs="TimesNewRoman"/>
          <w:kern w:val="0"/>
          <w:sz w:val="32"/>
          <w:szCs w:val="32"/>
        </w:rPr>
        <w:t>）</w:t>
      </w:r>
      <w:r>
        <w:rPr>
          <w:rFonts w:hint="eastAsia" w:ascii="仿宋_GB2312" w:hAnsi="仿宋_GB2312" w:eastAsia="仿宋_GB2312" w:cs="仿宋_GB2312"/>
          <w:b w:val="0"/>
          <w:bCs/>
          <w:color w:val="000000"/>
          <w:sz w:val="32"/>
          <w:szCs w:val="32"/>
          <w:lang w:eastAsia="zh-CN"/>
        </w:rPr>
        <w:t>乡镇卫生院机构</w:t>
      </w:r>
      <w:r>
        <w:rPr>
          <w:rFonts w:hint="eastAsia" w:ascii="仿宋_GB2312" w:hAnsi="仿宋_GB2312" w:eastAsia="仿宋_GB2312" w:cs="仿宋_GB2312"/>
          <w:b w:val="0"/>
          <w:bCs/>
          <w:color w:val="000000"/>
          <w:sz w:val="32"/>
          <w:szCs w:val="32"/>
        </w:rPr>
        <w:t>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541.39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4.22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0.79</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列入</w:t>
      </w:r>
      <w:r>
        <w:rPr>
          <w:rFonts w:hint="eastAsia" w:ascii="仿宋_GB2312" w:hAnsi="仿宋_GB2312" w:eastAsia="仿宋_GB2312" w:cs="仿宋_GB2312"/>
          <w:sz w:val="32"/>
          <w:szCs w:val="32"/>
        </w:rPr>
        <w:t>村医养老保险项目</w:t>
      </w:r>
      <w:r>
        <w:rPr>
          <w:rFonts w:hint="eastAsia" w:ascii="TimesNewRoman" w:hAnsi="TimesNewRoman" w:eastAsia="仿宋_GB2312" w:cs="TimesNewRoman"/>
          <w:kern w:val="0"/>
          <w:sz w:val="32"/>
          <w:szCs w:val="32"/>
        </w:rPr>
        <w:t>。</w:t>
      </w:r>
    </w:p>
    <w:p w14:paraId="1208653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lang w:eastAsia="zh-CN"/>
        </w:rPr>
        <w:t>卫生健康</w:t>
      </w:r>
      <w:r>
        <w:rPr>
          <w:rFonts w:hint="eastAsia" w:ascii="TimesNewRoman" w:hAnsi="TimesNewRoman" w:eastAsia="仿宋_GB2312" w:cs="TimesNewRoman"/>
          <w:kern w:val="0"/>
          <w:sz w:val="32"/>
          <w:szCs w:val="32"/>
        </w:rPr>
        <w:t>支出（类）</w:t>
      </w:r>
      <w:r>
        <w:rPr>
          <w:rFonts w:hint="eastAsia" w:ascii="仿宋_GB2312" w:hAnsi="仿宋_GB2312" w:eastAsia="仿宋_GB2312" w:cs="仿宋_GB2312"/>
          <w:b w:val="0"/>
          <w:bCs/>
          <w:color w:val="000000"/>
          <w:sz w:val="32"/>
          <w:szCs w:val="32"/>
          <w:lang w:eastAsia="zh-CN"/>
        </w:rPr>
        <w:t>行政事业单位医疗</w:t>
      </w:r>
      <w:r>
        <w:rPr>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kern w:val="0"/>
          <w:sz w:val="32"/>
          <w:szCs w:val="32"/>
        </w:rPr>
        <w:t>（款</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事业单位医疗</w:t>
      </w:r>
      <w:r>
        <w:rPr>
          <w:rFonts w:hint="eastAsia" w:ascii="仿宋_GB2312" w:hAnsi="仿宋_GB2312" w:eastAsia="仿宋_GB2312" w:cs="仿宋_GB2312"/>
          <w:b w:val="0"/>
          <w:bCs/>
          <w:color w:val="000000"/>
          <w:sz w:val="32"/>
          <w:szCs w:val="32"/>
        </w:rPr>
        <w:t>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27.02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3.72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12.10</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w:t>
      </w:r>
      <w:r>
        <w:rPr>
          <w:rFonts w:hint="eastAsia" w:ascii="仿宋_GB2312" w:hAnsi="仿宋_GB2312" w:eastAsia="仿宋_GB2312" w:cs="仿宋_GB2312"/>
          <w:kern w:val="0"/>
          <w:sz w:val="32"/>
          <w:szCs w:val="32"/>
        </w:rPr>
        <w:t>是</w:t>
      </w:r>
      <w:r>
        <w:rPr>
          <w:rFonts w:hint="eastAsia" w:ascii="仿宋_GB2312" w:hAnsi="仿宋_GB2312" w:eastAsia="仿宋_GB2312" w:cs="仿宋_GB2312"/>
          <w:kern w:val="0"/>
          <w:sz w:val="32"/>
          <w:szCs w:val="32"/>
          <w:lang w:eastAsia="zh-CN"/>
        </w:rPr>
        <w:t>在职转退休</w:t>
      </w:r>
      <w:r>
        <w:rPr>
          <w:rFonts w:hint="eastAsia" w:ascii="仿宋_GB2312" w:hAnsi="仿宋_GB2312" w:eastAsia="仿宋_GB2312" w:cs="仿宋_GB2312"/>
          <w:kern w:val="0"/>
          <w:sz w:val="32"/>
          <w:szCs w:val="32"/>
          <w:lang w:val="en-US" w:eastAsia="zh-CN"/>
        </w:rPr>
        <w:t>1人</w:t>
      </w:r>
      <w:r>
        <w:rPr>
          <w:rFonts w:hint="eastAsia" w:ascii="TimesNewRoman" w:hAnsi="TimesNewRoman" w:eastAsia="仿宋_GB2312" w:cs="TimesNewRoman"/>
          <w:kern w:val="0"/>
          <w:sz w:val="32"/>
          <w:szCs w:val="32"/>
        </w:rPr>
        <w:t>。</w:t>
      </w:r>
    </w:p>
    <w:p w14:paraId="7167F96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lang w:eastAsia="zh-CN"/>
        </w:rPr>
        <w:t>卫生健康</w:t>
      </w:r>
      <w:r>
        <w:rPr>
          <w:rFonts w:hint="eastAsia" w:ascii="TimesNewRoman" w:hAnsi="TimesNewRoman" w:eastAsia="仿宋_GB2312" w:cs="TimesNewRoman"/>
          <w:kern w:val="0"/>
          <w:sz w:val="32"/>
          <w:szCs w:val="32"/>
        </w:rPr>
        <w:t>支出（类）</w:t>
      </w:r>
      <w:r>
        <w:rPr>
          <w:rFonts w:hint="eastAsia" w:ascii="TimesNewRoman" w:hAnsi="TimesNewRoman" w:eastAsia="仿宋_GB2312" w:cs="TimesNewRoman"/>
          <w:kern w:val="0"/>
          <w:sz w:val="32"/>
          <w:szCs w:val="32"/>
          <w:lang w:eastAsia="zh-CN"/>
        </w:rPr>
        <w:t>行政事业单位医疗</w:t>
      </w:r>
      <w:r>
        <w:rPr>
          <w:rFonts w:hint="eastAsia" w:ascii="仿宋_GB2312" w:hAnsi="仿宋_GB2312" w:eastAsia="仿宋_GB2312" w:cs="仿宋_GB2312"/>
          <w:kern w:val="0"/>
          <w:sz w:val="32"/>
          <w:szCs w:val="32"/>
        </w:rPr>
        <w:t>（款</w:t>
      </w:r>
      <w:r>
        <w:rPr>
          <w:rFonts w:hint="eastAsia" w:ascii="TimesNewRoman" w:hAnsi="TimesNewRoman" w:eastAsia="仿宋_GB2312" w:cs="TimesNewRoman"/>
          <w:kern w:val="0"/>
          <w:sz w:val="32"/>
          <w:szCs w:val="32"/>
        </w:rPr>
        <w:t>）</w:t>
      </w:r>
      <w:r>
        <w:rPr>
          <w:rFonts w:hint="eastAsia" w:ascii="仿宋_GB2312" w:hAnsi="仿宋_GB2312" w:eastAsia="仿宋_GB2312" w:cs="仿宋_GB2312"/>
          <w:b w:val="0"/>
          <w:bCs/>
          <w:color w:val="000000"/>
          <w:sz w:val="32"/>
          <w:szCs w:val="32"/>
          <w:lang w:eastAsia="zh-CN"/>
        </w:rPr>
        <w:t>公务员医疗补助</w:t>
      </w:r>
      <w:r>
        <w:rPr>
          <w:rFonts w:hint="eastAsia" w:ascii="仿宋_GB2312" w:hAnsi="仿宋_GB2312" w:eastAsia="仿宋_GB2312" w:cs="仿宋_GB2312"/>
          <w:b w:val="0"/>
          <w:bCs/>
          <w:color w:val="000000"/>
          <w:sz w:val="32"/>
          <w:szCs w:val="32"/>
        </w:rPr>
        <w:t>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15.81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4.78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43.34</w:t>
      </w:r>
      <w:r>
        <w:rPr>
          <w:rFonts w:hint="eastAsia" w:ascii="TimesNewRoman" w:hAnsi="TimesNewRoman" w:eastAsia="仿宋_GB2312" w:cs="TimesNewRoman"/>
          <w:kern w:val="0"/>
          <w:sz w:val="32"/>
          <w:szCs w:val="32"/>
        </w:rPr>
        <w:t>%，</w:t>
      </w:r>
      <w:r>
        <w:rPr>
          <w:rFonts w:hint="eastAsia" w:ascii="仿宋" w:hAnsi="仿宋" w:eastAsia="仿宋" w:cs="仿宋"/>
          <w:kern w:val="0"/>
          <w:sz w:val="32"/>
          <w:szCs w:val="32"/>
        </w:rPr>
        <w:t>原因主要</w:t>
      </w:r>
      <w:r>
        <w:rPr>
          <w:rFonts w:hint="eastAsia" w:ascii="仿宋" w:hAnsi="仿宋" w:eastAsia="仿宋" w:cs="仿宋"/>
          <w:kern w:val="0"/>
          <w:sz w:val="32"/>
          <w:szCs w:val="32"/>
          <w:lang w:eastAsia="zh-CN"/>
        </w:rPr>
        <w:t>是基数增加</w:t>
      </w:r>
      <w:r>
        <w:rPr>
          <w:rFonts w:hint="eastAsia" w:ascii="TimesNewRoman" w:hAnsi="TimesNewRoman" w:eastAsia="仿宋_GB2312" w:cs="TimesNewRoman"/>
          <w:kern w:val="0"/>
          <w:sz w:val="32"/>
          <w:szCs w:val="32"/>
        </w:rPr>
        <w:t>。</w:t>
      </w:r>
    </w:p>
    <w:p w14:paraId="051D5041">
      <w:pPr>
        <w:adjustRightInd w:val="0"/>
        <w:snapToGrid w:val="0"/>
        <w:spacing w:line="560" w:lineRule="exact"/>
        <w:ind w:firstLine="480" w:firstLineChars="150"/>
        <w:rPr>
          <w:rFonts w:hint="eastAsia" w:ascii="仿宋_GB2312" w:hAnsi="仿宋_GB2312" w:eastAsia="仿宋_GB2312" w:cs="仿宋_GB2312"/>
          <w:sz w:val="32"/>
          <w:szCs w:val="32"/>
        </w:rPr>
      </w:pPr>
      <w:r>
        <w:rPr>
          <w:rFonts w:hint="eastAsia" w:ascii="TimesNewRoman" w:hAnsi="TimesNewRoman" w:eastAsia="仿宋_GB2312" w:cs="TimesNewRoman"/>
          <w:color w:val="auto"/>
          <w:kern w:val="0"/>
          <w:sz w:val="32"/>
          <w:szCs w:val="32"/>
          <w:lang w:val="en-US" w:eastAsia="zh-CN"/>
        </w:rPr>
        <w:t>8.</w:t>
      </w:r>
      <w:r>
        <w:rPr>
          <w:rFonts w:hint="eastAsia" w:ascii="TimesNewRoman" w:hAnsi="TimesNewRoman" w:eastAsia="仿宋_GB2312" w:cs="TimesNewRoman"/>
          <w:color w:val="auto"/>
          <w:kern w:val="0"/>
          <w:sz w:val="32"/>
          <w:szCs w:val="32"/>
        </w:rPr>
        <w:t>住房保障支出（类）住房改革支出（款）住房公积金（项）</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6</w:t>
      </w:r>
      <w:r>
        <w:rPr>
          <w:rFonts w:hint="eastAsia" w:ascii="TimesNewRoman" w:hAnsi="TimesNewRoman" w:eastAsia="仿宋_GB2312" w:cs="TimesNewRoman"/>
          <w:color w:val="auto"/>
          <w:kern w:val="0"/>
          <w:sz w:val="32"/>
          <w:szCs w:val="32"/>
        </w:rPr>
        <w:t>年预算</w:t>
      </w:r>
      <w:r>
        <w:rPr>
          <w:rFonts w:hint="eastAsia" w:ascii="TimesNewRoman" w:hAnsi="TimesNewRoman" w:eastAsia="仿宋_GB2312" w:cs="TimesNewRoman"/>
          <w:color w:val="auto"/>
          <w:kern w:val="0"/>
          <w:sz w:val="32"/>
          <w:szCs w:val="32"/>
          <w:lang w:val="en-US" w:eastAsia="zh-CN"/>
        </w:rPr>
        <w:t>104.62</w:t>
      </w:r>
      <w:r>
        <w:rPr>
          <w:rFonts w:hint="eastAsia" w:ascii="TimesNewRoman" w:hAnsi="TimesNewRoman" w:eastAsia="仿宋_GB2312" w:cs="TimesNewRoman"/>
          <w:color w:val="auto"/>
          <w:kern w:val="0"/>
          <w:sz w:val="32"/>
          <w:szCs w:val="32"/>
        </w:rPr>
        <w:t>万元，比</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5</w:t>
      </w:r>
      <w:r>
        <w:rPr>
          <w:rFonts w:hint="eastAsia" w:ascii="TimesNewRoman" w:hAnsi="TimesNewRoman" w:eastAsia="仿宋_GB2312" w:cs="TimesNewRoman"/>
          <w:color w:val="auto"/>
          <w:kern w:val="0"/>
          <w:sz w:val="32"/>
          <w:szCs w:val="32"/>
        </w:rPr>
        <w:t>年预算增加</w:t>
      </w:r>
      <w:r>
        <w:rPr>
          <w:rFonts w:hint="eastAsia" w:ascii="TimesNewRoman" w:hAnsi="TimesNewRoman" w:eastAsia="仿宋_GB2312" w:cs="TimesNewRoman"/>
          <w:color w:val="auto"/>
          <w:kern w:val="0"/>
          <w:sz w:val="32"/>
          <w:szCs w:val="32"/>
          <w:lang w:val="en-US" w:eastAsia="zh-CN"/>
        </w:rPr>
        <w:t>0.28</w:t>
      </w:r>
      <w:r>
        <w:rPr>
          <w:rFonts w:hint="eastAsia" w:ascii="TimesNewRoman" w:hAnsi="TimesNewRoman" w:eastAsia="仿宋_GB2312" w:cs="TimesNewRoman"/>
          <w:color w:val="auto"/>
          <w:kern w:val="0"/>
          <w:sz w:val="32"/>
          <w:szCs w:val="32"/>
        </w:rPr>
        <w:t>万元，增长</w:t>
      </w:r>
      <w:r>
        <w:rPr>
          <w:rFonts w:hint="eastAsia" w:ascii="TimesNewRoman" w:hAnsi="TimesNewRoman" w:eastAsia="仿宋_GB2312" w:cs="TimesNewRoman"/>
          <w:color w:val="auto"/>
          <w:kern w:val="0"/>
          <w:sz w:val="32"/>
          <w:szCs w:val="32"/>
          <w:lang w:val="en-US" w:eastAsia="zh-CN"/>
        </w:rPr>
        <w:t>0.27</w:t>
      </w:r>
      <w:r>
        <w:rPr>
          <w:rFonts w:hint="eastAsia" w:ascii="TimesNewRoman" w:hAnsi="TimesNewRoman" w:eastAsia="仿宋_GB2312" w:cs="TimesNewRoman"/>
          <w:color w:val="auto"/>
          <w:kern w:val="0"/>
          <w:sz w:val="32"/>
          <w:szCs w:val="32"/>
        </w:rPr>
        <w:t>%，原</w:t>
      </w:r>
      <w:r>
        <w:rPr>
          <w:rFonts w:hint="eastAsia" w:ascii="仿宋_GB2312" w:hAnsi="仿宋_GB2312" w:eastAsia="仿宋_GB2312" w:cs="仿宋_GB2312"/>
          <w:color w:val="auto"/>
          <w:kern w:val="0"/>
          <w:sz w:val="32"/>
          <w:szCs w:val="32"/>
        </w:rPr>
        <w:t>因主要是</w:t>
      </w:r>
      <w:r>
        <w:rPr>
          <w:rFonts w:hint="eastAsia" w:ascii="仿宋_GB2312" w:hAnsi="仿宋_GB2312" w:eastAsia="仿宋_GB2312" w:cs="仿宋_GB2312"/>
          <w:sz w:val="32"/>
          <w:szCs w:val="32"/>
        </w:rPr>
        <w:t>住房公积金基数增加。</w:t>
      </w:r>
    </w:p>
    <w:p w14:paraId="2217FA4E">
      <w:pPr>
        <w:adjustRightInd w:val="0"/>
        <w:snapToGrid w:val="0"/>
        <w:spacing w:line="560" w:lineRule="exact"/>
        <w:ind w:firstLine="480" w:firstLineChars="150"/>
        <w:rPr>
          <w:rFonts w:hint="default" w:ascii="TimesNewRoman" w:hAnsi="TimesNewRoman" w:eastAsia="楷体_GB2312" w:cs="TimesNewRoman"/>
          <w:b/>
          <w:sz w:val="32"/>
          <w:szCs w:val="32"/>
          <w:lang w:val="en-US" w:eastAsia="zh-CN"/>
        </w:rPr>
      </w:pPr>
      <w:r>
        <w:rPr>
          <w:rFonts w:hint="eastAsia" w:ascii="TimesNewRoman" w:hAnsi="TimesNewRoman" w:eastAsia="仿宋_GB2312" w:cs="TimesNewRoman"/>
          <w:color w:val="auto"/>
          <w:kern w:val="0"/>
          <w:sz w:val="32"/>
          <w:szCs w:val="32"/>
          <w:lang w:val="en-US" w:eastAsia="zh-CN"/>
        </w:rPr>
        <w:t>9.</w:t>
      </w:r>
      <w:r>
        <w:rPr>
          <w:rFonts w:hint="eastAsia" w:ascii="TimesNewRoman" w:hAnsi="TimesNewRoman" w:eastAsia="仿宋_GB2312" w:cs="TimesNewRoman"/>
          <w:color w:val="auto"/>
          <w:kern w:val="0"/>
          <w:sz w:val="32"/>
          <w:szCs w:val="32"/>
        </w:rPr>
        <w:t>住房保障支出（类）住房改革支出（款）</w:t>
      </w:r>
      <w:r>
        <w:rPr>
          <w:rFonts w:hint="eastAsia" w:ascii="TimesNewRoman" w:hAnsi="TimesNewRoman" w:eastAsia="仿宋_GB2312" w:cs="TimesNewRoman"/>
          <w:color w:val="auto"/>
          <w:kern w:val="0"/>
          <w:sz w:val="32"/>
          <w:szCs w:val="32"/>
          <w:lang w:eastAsia="zh-CN"/>
        </w:rPr>
        <w:t>提租补贴</w:t>
      </w:r>
      <w:r>
        <w:rPr>
          <w:rFonts w:hint="eastAsia" w:ascii="TimesNewRoman" w:hAnsi="TimesNewRoman" w:eastAsia="仿宋_GB2312" w:cs="TimesNewRoman"/>
          <w:color w:val="auto"/>
          <w:kern w:val="0"/>
          <w:sz w:val="32"/>
          <w:szCs w:val="32"/>
        </w:rPr>
        <w:t>（项）</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6</w:t>
      </w:r>
      <w:r>
        <w:rPr>
          <w:rFonts w:hint="eastAsia" w:ascii="TimesNewRoman" w:hAnsi="TimesNewRoman" w:eastAsia="仿宋_GB2312" w:cs="TimesNewRoman"/>
          <w:color w:val="auto"/>
          <w:kern w:val="0"/>
          <w:sz w:val="32"/>
          <w:szCs w:val="32"/>
        </w:rPr>
        <w:t>年预算</w:t>
      </w:r>
      <w:r>
        <w:rPr>
          <w:rFonts w:hint="eastAsia" w:ascii="TimesNewRoman" w:hAnsi="TimesNewRoman" w:eastAsia="仿宋_GB2312" w:cs="TimesNewRoman"/>
          <w:color w:val="auto"/>
          <w:kern w:val="0"/>
          <w:sz w:val="32"/>
          <w:szCs w:val="32"/>
          <w:lang w:val="en-US" w:eastAsia="zh-CN"/>
        </w:rPr>
        <w:t>17.31</w:t>
      </w:r>
      <w:r>
        <w:rPr>
          <w:rFonts w:hint="eastAsia" w:ascii="TimesNewRoman" w:hAnsi="TimesNewRoman" w:eastAsia="仿宋_GB2312" w:cs="TimesNewRoman"/>
          <w:color w:val="auto"/>
          <w:kern w:val="0"/>
          <w:sz w:val="32"/>
          <w:szCs w:val="32"/>
        </w:rPr>
        <w:t>万元，比</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5</w:t>
      </w:r>
      <w:r>
        <w:rPr>
          <w:rFonts w:hint="eastAsia" w:ascii="TimesNewRoman" w:hAnsi="TimesNewRoman" w:eastAsia="仿宋_GB2312" w:cs="TimesNewRoman"/>
          <w:color w:val="auto"/>
          <w:kern w:val="0"/>
          <w:sz w:val="32"/>
          <w:szCs w:val="32"/>
        </w:rPr>
        <w:t>年预算增加</w:t>
      </w:r>
      <w:r>
        <w:rPr>
          <w:rFonts w:hint="eastAsia" w:ascii="TimesNewRoman" w:hAnsi="TimesNewRoman" w:eastAsia="仿宋_GB2312" w:cs="TimesNewRoman"/>
          <w:color w:val="auto"/>
          <w:kern w:val="0"/>
          <w:sz w:val="32"/>
          <w:szCs w:val="32"/>
          <w:lang w:val="en-US" w:eastAsia="zh-CN"/>
        </w:rPr>
        <w:t>17.31</w:t>
      </w:r>
      <w:r>
        <w:rPr>
          <w:rFonts w:hint="eastAsia" w:ascii="TimesNewRoman" w:hAnsi="TimesNewRoman" w:eastAsia="仿宋_GB2312" w:cs="TimesNewRoman"/>
          <w:color w:val="auto"/>
          <w:kern w:val="0"/>
          <w:sz w:val="32"/>
          <w:szCs w:val="32"/>
        </w:rPr>
        <w:t>万元</w:t>
      </w:r>
      <w:r>
        <w:rPr>
          <w:rFonts w:hint="eastAsia" w:ascii="TimesNewRoman" w:hAnsi="TimesNewRoman" w:eastAsia="仿宋_GB2312" w:cs="TimesNewRoman"/>
          <w:color w:val="auto"/>
          <w:kern w:val="0"/>
          <w:sz w:val="32"/>
          <w:szCs w:val="32"/>
          <w:lang w:eastAsia="zh-CN"/>
        </w:rPr>
        <w:t>，原因主要是</w:t>
      </w:r>
      <w:r>
        <w:rPr>
          <w:rFonts w:hint="eastAsia" w:ascii="仿宋_GB2312" w:hAnsi="仿宋_GB2312" w:eastAsia="仿宋_GB2312" w:cs="仿宋_GB2312"/>
          <w:color w:val="auto"/>
          <w:kern w:val="0"/>
          <w:sz w:val="32"/>
          <w:szCs w:val="32"/>
          <w:lang w:val="en-US" w:eastAsia="zh-CN"/>
        </w:rPr>
        <w:t>2026年新增提租补贴项目</w:t>
      </w:r>
      <w:r>
        <w:rPr>
          <w:rFonts w:hint="eastAsia" w:ascii="仿宋_GB2312" w:hAnsi="仿宋_GB2312" w:eastAsia="仿宋_GB2312" w:cs="仿宋_GB2312"/>
          <w:sz w:val="32"/>
          <w:szCs w:val="32"/>
        </w:rPr>
        <w:t>。</w:t>
      </w:r>
    </w:p>
    <w:p w14:paraId="5DCE95EB">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852.46</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852.46</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852.46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取暖费、物业管理费、差旅费、因公出国（境）费、维修（护）费、租赁费、会议费、培训费、公务接待费、专用材料费、被装购置费、专用燃料费、劳务费、委托业务费、公务用车运行维护费、其他交通费用、税金及附加费用、其他商品服务支出、房屋建筑物购建、办公设备购置、专用设备购置、基础设施建设、大型修缮、信息网络及软件购置更新、公务用车购置、其他交通工具购置、无形资产购置等。</w:t>
      </w:r>
    </w:p>
    <w:p w14:paraId="50AB700A">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432.98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88.1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16.91</w:t>
      </w:r>
      <w:r>
        <w:rPr>
          <w:rFonts w:hint="eastAsia" w:ascii="TimesNewRoman" w:hAnsi="TimesNewRoman" w:eastAsia="仿宋_GB2312" w:cs="TimesNewRoman"/>
          <w:kern w:val="0"/>
          <w:sz w:val="32"/>
          <w:szCs w:val="32"/>
        </w:rPr>
        <w:t>%，原因主要是</w:t>
      </w:r>
      <w:r>
        <w:rPr>
          <w:rFonts w:hint="eastAsia" w:ascii="仿宋_GB2312" w:hAnsi="TimesNewRoman" w:eastAsia="仿宋_GB2312" w:cs="TimesNewRoman"/>
          <w:sz w:val="32"/>
          <w:szCs w:val="32"/>
          <w:lang w:eastAsia="zh-CN"/>
        </w:rPr>
        <w:t>医院正常运转经费减少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32.98</w:t>
      </w:r>
      <w:r>
        <w:rPr>
          <w:rFonts w:hint="eastAsia" w:ascii="TimesNewRoman" w:hAnsi="TimesNewRoman" w:eastAsia="仿宋_GB2312" w:cs="TimesNewRoman"/>
          <w:kern w:val="0"/>
          <w:sz w:val="32"/>
          <w:szCs w:val="32"/>
        </w:rPr>
        <w:t>万元（其中，</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安排</w:t>
      </w:r>
      <w:r>
        <w:rPr>
          <w:rFonts w:hint="eastAsia" w:ascii="TimesNewRoman" w:hAnsi="TimesNewRoman" w:eastAsia="仿宋_GB2312" w:cs="TimesNewRoman"/>
          <w:kern w:val="0"/>
          <w:sz w:val="32"/>
          <w:szCs w:val="32"/>
          <w:lang w:val="en-US" w:eastAsia="zh-CN"/>
        </w:rPr>
        <w:t>32.98</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，事业收入</w:t>
      </w:r>
      <w:r>
        <w:rPr>
          <w:rFonts w:hint="eastAsia" w:ascii="TimesNewRoman" w:hAnsi="TimesNewRoman" w:eastAsia="仿宋_GB2312" w:cs="TimesNewRoman"/>
          <w:kern w:val="0"/>
          <w:sz w:val="32"/>
          <w:szCs w:val="32"/>
        </w:rPr>
        <w:t>资金安排</w:t>
      </w:r>
      <w:r>
        <w:rPr>
          <w:rFonts w:hint="eastAsia" w:ascii="TimesNewRoman" w:hAnsi="TimesNewRoman" w:eastAsia="仿宋_GB2312" w:cs="TimesNewRoman"/>
          <w:kern w:val="0"/>
          <w:sz w:val="32"/>
          <w:szCs w:val="32"/>
          <w:lang w:val="en-US" w:eastAsia="zh-CN"/>
        </w:rPr>
        <w:t>400</w:t>
      </w:r>
      <w:r>
        <w:rPr>
          <w:rFonts w:hint="eastAsia" w:ascii="TimesNewRoman" w:hAnsi="TimesNewRoman" w:eastAsia="仿宋_GB2312" w:cs="TimesNewRoman"/>
          <w:kern w:val="0"/>
          <w:sz w:val="32"/>
          <w:szCs w:val="32"/>
        </w:rPr>
        <w:t>万元。</w:t>
      </w:r>
    </w:p>
    <w:p w14:paraId="213E741B">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126.34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76.61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154.05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color w:val="auto"/>
          <w:kern w:val="0"/>
          <w:sz w:val="32"/>
          <w:szCs w:val="32"/>
          <w:lang w:eastAsia="zh-CN"/>
        </w:rPr>
        <w:t>购买设备</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，事业收入</w:t>
      </w:r>
      <w:r>
        <w:rPr>
          <w:rFonts w:hint="eastAsia" w:ascii="TimesNewRoman" w:hAnsi="TimesNewRoman" w:eastAsia="仿宋_GB2312" w:cs="TimesNewRoman"/>
          <w:kern w:val="0"/>
          <w:sz w:val="32"/>
          <w:szCs w:val="32"/>
        </w:rPr>
        <w:t>资金安排</w:t>
      </w:r>
      <w:r>
        <w:rPr>
          <w:rFonts w:hint="eastAsia" w:ascii="TimesNewRoman" w:hAnsi="TimesNewRoman" w:eastAsia="仿宋_GB2312" w:cs="TimesNewRoman"/>
          <w:kern w:val="0"/>
          <w:sz w:val="32"/>
          <w:szCs w:val="32"/>
          <w:lang w:val="en-US" w:eastAsia="zh-CN"/>
        </w:rPr>
        <w:t>126.34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w:t>
      </w:r>
    </w:p>
    <w:p w14:paraId="1F1694B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年没有安排政府购买服务支出。</w:t>
      </w:r>
    </w:p>
    <w:p w14:paraId="4A453E4A">
      <w:pPr>
        <w:pStyle w:val="5"/>
        <w:numPr>
          <w:ilvl w:val="0"/>
          <w:numId w:val="2"/>
        </w:numPr>
        <w:adjustRightInd w:val="0"/>
        <w:snapToGrid w:val="0"/>
        <w:spacing w:line="560" w:lineRule="exact"/>
        <w:ind w:firstLine="627" w:firstLineChars="196"/>
        <w:rPr>
          <w:rFonts w:hint="default" w:ascii="TimesNewRoman" w:hAnsi="TimesNewRoman" w:eastAsia="黑体" w:cs="TimesNewRoman"/>
          <w:bCs/>
          <w:sz w:val="32"/>
          <w:szCs w:val="32"/>
        </w:rPr>
      </w:pPr>
      <w:r>
        <w:rPr>
          <w:rFonts w:hint="default" w:ascii="TimesNewRoman" w:hAnsi="TimesNewRoman" w:eastAsia="黑体" w:cs="TimesNewRoman"/>
          <w:bCs/>
          <w:sz w:val="32"/>
          <w:szCs w:val="32"/>
        </w:rPr>
        <w:t>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6ABA3D41">
      <w:pPr>
        <w:ind w:firstLine="640" w:firstLineChars="200"/>
        <w:rPr>
          <w:rFonts w:ascii="TimesNewRoman" w:hAnsi="TimesNewRoman" w:eastAsia="仿宋_GB2312" w:cs="TimesNewRoman"/>
          <w:kern w:val="0"/>
          <w:sz w:val="32"/>
          <w:szCs w:val="32"/>
        </w:rPr>
      </w:pPr>
      <w:r>
        <w:rPr>
          <w:rFonts w:hint="default"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烈山区宋疃镇卫生院</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default" w:ascii="TimesNewRoman" w:hAnsi="TimesNewRoman" w:eastAsia="仿宋_GB2312" w:cs="TimesNewRoman"/>
          <w:sz w:val="32"/>
          <w:szCs w:val="32"/>
          <w:lang w:eastAsia="zh-CN"/>
        </w:rPr>
        <w:t>安排通用资产配</w:t>
      </w:r>
      <w:r>
        <w:rPr>
          <w:rFonts w:hint="default" w:ascii="TimesNewRoman" w:hAnsi="TimesNewRoman" w:eastAsia="仿宋_GB2312" w:cs="TimesNewRoman"/>
          <w:bCs/>
          <w:sz w:val="32"/>
          <w:szCs w:val="32"/>
          <w:lang w:eastAsia="zh-CN"/>
        </w:rPr>
        <w:t>置支出</w:t>
      </w:r>
      <w:r>
        <w:rPr>
          <w:rFonts w:hint="eastAsia" w:ascii="TimesNewRoman" w:hAnsi="TimesNewRoman" w:eastAsia="仿宋_GB2312" w:cs="TimesNewRoman"/>
          <w:bCs/>
          <w:sz w:val="32"/>
          <w:szCs w:val="32"/>
          <w:lang w:val="en-US" w:eastAsia="zh-CN"/>
        </w:rPr>
        <w:t>8.65</w:t>
      </w:r>
      <w:r>
        <w:rPr>
          <w:rFonts w:hint="eastAsia" w:ascii="TimesNewRoman" w:hAnsi="TimesNewRoman" w:eastAsia="仿宋_GB2312" w:cs="TimesNewRoman"/>
          <w:sz w:val="32"/>
          <w:szCs w:val="32"/>
          <w:lang w:val="en-US" w:eastAsia="zh-CN"/>
        </w:rPr>
        <w:t>万元</w:t>
      </w:r>
      <w:r>
        <w:rPr>
          <w:rFonts w:hint="eastAsia" w:ascii="Times New Roman" w:hAnsi="Times New Roman" w:cs="Times New Roman"/>
          <w:color w:val="000000"/>
          <w:sz w:val="32"/>
          <w:szCs w:val="32"/>
          <w:lang w:val="en-US" w:eastAsia="zh-CN"/>
        </w:rPr>
        <w:t>，</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减少0.94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10.87</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部分设备</w:t>
      </w:r>
      <w:r>
        <w:rPr>
          <w:rFonts w:hint="eastAsia" w:ascii="TimesNewRoman" w:hAnsi="TimesNewRoman" w:eastAsia="仿宋_GB2312" w:cs="TimesNewRoman"/>
          <w:sz w:val="32"/>
          <w:szCs w:val="32"/>
          <w:lang w:val="en-US" w:eastAsia="zh-CN"/>
        </w:rPr>
        <w:t>2025年已</w:t>
      </w:r>
      <w:r>
        <w:rPr>
          <w:rFonts w:hint="eastAsia" w:ascii="TimesNewRoman" w:hAnsi="TimesNewRoman" w:eastAsia="仿宋_GB2312" w:cs="TimesNewRoman"/>
          <w:sz w:val="32"/>
          <w:szCs w:val="32"/>
          <w:lang w:eastAsia="zh-CN"/>
        </w:rPr>
        <w:t>更新</w:t>
      </w:r>
      <w:r>
        <w:rPr>
          <w:rFonts w:ascii="TimesNewRoman" w:hAnsi="TimesNewRoman" w:eastAsia="仿宋_GB2312" w:cs="TimesNewRoman"/>
          <w:sz w:val="32"/>
          <w:szCs w:val="32"/>
        </w:rPr>
        <w:t>。其中，一般公共预算安排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8.65</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p>
    <w:p w14:paraId="401C6E41">
      <w:pPr>
        <w:pStyle w:val="5"/>
        <w:numPr>
          <w:ilvl w:val="0"/>
          <w:numId w:val="0"/>
        </w:numPr>
        <w:adjustRightInd w:val="0"/>
        <w:snapToGrid w:val="0"/>
        <w:spacing w:line="560" w:lineRule="exact"/>
        <w:rPr>
          <w:rFonts w:hint="default" w:ascii="TimesNewRoman" w:hAnsi="TimesNewRoman" w:eastAsia="黑体" w:cs="TimesNewRoman"/>
          <w:bCs/>
          <w:sz w:val="32"/>
          <w:szCs w:val="32"/>
          <w:lang w:val="en-US" w:eastAsia="zh-CN"/>
        </w:rPr>
      </w:pPr>
    </w:p>
    <w:p w14:paraId="00038706">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0DD25E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卫生院正常运转经费</w:t>
      </w:r>
      <w:r>
        <w:rPr>
          <w:rFonts w:hint="eastAsia" w:ascii="TimesNewRoman" w:hAnsi="TimesNewRoman" w:eastAsia="仿宋_GB2312" w:cs="TimesNewRoman"/>
          <w:kern w:val="0"/>
          <w:sz w:val="32"/>
          <w:szCs w:val="32"/>
        </w:rPr>
        <w:t>”项目。</w:t>
      </w:r>
    </w:p>
    <w:p w14:paraId="7330D446">
      <w:pPr>
        <w:spacing w:line="560" w:lineRule="exact"/>
        <w:ind w:firstLine="640" w:firstLineChars="200"/>
        <w:rPr>
          <w:rFonts w:hint="eastAsia" w:ascii="方正仿宋_GB18030" w:hAnsi="方正仿宋_GB18030" w:eastAsia="方正仿宋_GB18030" w:cs="方正仿宋_GB18030"/>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w:t>
      </w:r>
      <w:r>
        <w:rPr>
          <w:rFonts w:hint="eastAsia" w:ascii="方正仿宋_GB18030" w:hAnsi="方正仿宋_GB18030" w:eastAsia="方正仿宋_GB18030" w:cs="方正仿宋_GB18030"/>
          <w:sz w:val="32"/>
          <w:szCs w:val="32"/>
        </w:rPr>
        <w:t>本项目主要用于维持卫生院日常运转费用的支出，该项经费支出来</w:t>
      </w:r>
      <w:r>
        <w:rPr>
          <w:rFonts w:hint="eastAsia" w:ascii="方正仿宋_GB18030" w:hAnsi="方正仿宋_GB18030" w:eastAsia="方正仿宋_GB18030" w:cs="方正仿宋_GB18030"/>
          <w:sz w:val="32"/>
          <w:szCs w:val="32"/>
          <w:lang w:eastAsia="zh-CN"/>
        </w:rPr>
        <w:t>源于</w:t>
      </w:r>
      <w:r>
        <w:rPr>
          <w:rFonts w:hint="eastAsia" w:ascii="方正仿宋_GB18030" w:hAnsi="方正仿宋_GB18030" w:eastAsia="方正仿宋_GB18030" w:cs="方正仿宋_GB18030"/>
          <w:sz w:val="32"/>
          <w:szCs w:val="32"/>
        </w:rPr>
        <w:t>卫生院医疗收入。</w:t>
      </w:r>
    </w:p>
    <w:p w14:paraId="6F0E2DFE">
      <w:pPr>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（2）立项依据</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经常性项目</w:t>
      </w:r>
      <w:r>
        <w:rPr>
          <w:rFonts w:hint="eastAsia" w:ascii="仿宋_GB2312" w:hAnsi="仿宋_GB2312" w:eastAsia="仿宋_GB2312" w:cs="仿宋_GB2312"/>
          <w:sz w:val="32"/>
          <w:szCs w:val="32"/>
          <w:lang w:eastAsia="zh-CN"/>
        </w:rPr>
        <w:t>。</w:t>
      </w:r>
    </w:p>
    <w:p w14:paraId="1FD15D6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（3）实施主体</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烈山区宋疃镇卫生院</w:t>
      </w:r>
    </w:p>
    <w:p w14:paraId="04B953C3">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（4）起止时间</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w:t>
      </w:r>
    </w:p>
    <w:p w14:paraId="5506B1BA">
      <w:pPr>
        <w:spacing w:line="560" w:lineRule="exact"/>
        <w:ind w:firstLine="64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（5）项目内容</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kern w:val="0"/>
          <w:sz w:val="32"/>
          <w:szCs w:val="32"/>
        </w:rPr>
        <w:t>正常运转经费补助，包括其他商品和服务支出、办公费、印刷费、水电费、邮电费、专用材料费购置、疫苗、药品、物业费、设备购置费、维修维护费、邮电费、差旅费、其他交通费、其他对个人和家庭补助支出等。</w:t>
      </w:r>
    </w:p>
    <w:p w14:paraId="4E5F95AE">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年度预算4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0万元</w:t>
      </w:r>
    </w:p>
    <w:p w14:paraId="4A56D46B">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（7）绩效目标</w:t>
      </w:r>
      <w:r>
        <w:rPr>
          <w:rFonts w:hint="eastAsia" w:ascii="TimesNewRoman" w:hAnsi="TimesNewRoman" w:eastAsia="仿宋_GB2312" w:cs="TimesNewRoman"/>
          <w:kern w:val="0"/>
          <w:sz w:val="32"/>
          <w:szCs w:val="32"/>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6029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0853802">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3D9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A733797">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4E0D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817E57A">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24BD692">
            <w:pPr>
              <w:jc w:val="center"/>
              <w:rPr>
                <w:rFonts w:hint="eastAsia" w:ascii="宋体" w:cs="宋体" w:eastAsiaTheme="minorEastAsia"/>
                <w:sz w:val="20"/>
                <w:lang w:eastAsia="zh-CN"/>
              </w:rPr>
            </w:pPr>
            <w:r>
              <w:rPr>
                <w:rFonts w:hint="eastAsia" w:ascii="宋体" w:cs="宋体"/>
                <w:sz w:val="20"/>
                <w:lang w:eastAsia="zh-CN"/>
              </w:rPr>
              <w:t>卫生院正常运转经费</w:t>
            </w:r>
          </w:p>
        </w:tc>
      </w:tr>
      <w:tr w14:paraId="6FFE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D49BDF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27716CE">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151C1ECC">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7C9C83D">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1232D00F">
            <w:pPr>
              <w:jc w:val="center"/>
            </w:pPr>
          </w:p>
        </w:tc>
      </w:tr>
      <w:tr w14:paraId="64FD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2DAFE7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D739E07">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39F7AACB">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C699C1E">
            <w:pPr>
              <w:jc w:val="center"/>
              <w:rPr>
                <w:rFonts w:hint="default" w:eastAsiaTheme="minorEastAsia"/>
                <w:lang w:val="en-US" w:eastAsia="zh-CN"/>
              </w:rPr>
            </w:pPr>
            <w:r>
              <w:rPr>
                <w:rFonts w:hint="eastAsia"/>
                <w:lang w:val="en-US" w:eastAsia="zh-CN"/>
              </w:rPr>
              <w:t>2026年</w:t>
            </w:r>
          </w:p>
        </w:tc>
      </w:tr>
      <w:tr w14:paraId="174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908EE6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CBA28A5">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4222D34A">
            <w:pPr>
              <w:jc w:val="right"/>
              <w:rPr>
                <w:rFonts w:hint="default" w:ascii="宋体" w:cs="宋体" w:eastAsiaTheme="minorEastAsia"/>
                <w:sz w:val="20"/>
                <w:lang w:val="en-US" w:eastAsia="zh-CN"/>
              </w:rPr>
            </w:pPr>
            <w:r>
              <w:rPr>
                <w:rFonts w:hint="eastAsia" w:ascii="宋体" w:cs="宋体"/>
                <w:sz w:val="20"/>
                <w:lang w:val="en-US" w:eastAsia="zh-CN"/>
              </w:rPr>
              <w:t>400万元</w:t>
            </w:r>
          </w:p>
        </w:tc>
      </w:tr>
      <w:tr w14:paraId="3CA7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CC39875">
            <w:pPr>
              <w:jc w:val="center"/>
              <w:rPr>
                <w:rFonts w:ascii="宋体" w:cs="宋体"/>
                <w:sz w:val="20"/>
              </w:rPr>
            </w:pPr>
          </w:p>
        </w:tc>
        <w:tc>
          <w:tcPr>
            <w:tcW w:w="3349" w:type="dxa"/>
            <w:gridSpan w:val="2"/>
            <w:tcBorders>
              <w:tl2br w:val="nil"/>
              <w:tr2bl w:val="nil"/>
            </w:tcBorders>
            <w:vAlign w:val="center"/>
          </w:tcPr>
          <w:p w14:paraId="2BBCEED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1A8F363">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785A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7C45906">
            <w:pPr>
              <w:jc w:val="center"/>
              <w:rPr>
                <w:rFonts w:ascii="宋体" w:cs="宋体"/>
                <w:sz w:val="20"/>
              </w:rPr>
            </w:pPr>
          </w:p>
        </w:tc>
        <w:tc>
          <w:tcPr>
            <w:tcW w:w="3349" w:type="dxa"/>
            <w:gridSpan w:val="2"/>
            <w:tcBorders>
              <w:tl2br w:val="nil"/>
              <w:tr2bl w:val="nil"/>
            </w:tcBorders>
            <w:vAlign w:val="center"/>
          </w:tcPr>
          <w:p w14:paraId="47C32A89">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B374F8F">
            <w:pPr>
              <w:jc w:val="center"/>
              <w:rPr>
                <w:rFonts w:ascii="宋体" w:cs="宋体"/>
                <w:sz w:val="20"/>
              </w:rPr>
            </w:pPr>
          </w:p>
        </w:tc>
      </w:tr>
      <w:tr w14:paraId="31A7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09A52D2">
            <w:pPr>
              <w:jc w:val="center"/>
              <w:rPr>
                <w:rFonts w:ascii="宋体" w:cs="宋体"/>
                <w:sz w:val="20"/>
              </w:rPr>
            </w:pPr>
          </w:p>
        </w:tc>
        <w:tc>
          <w:tcPr>
            <w:tcW w:w="3349" w:type="dxa"/>
            <w:gridSpan w:val="2"/>
            <w:tcBorders>
              <w:tl2br w:val="nil"/>
              <w:tr2bl w:val="nil"/>
            </w:tcBorders>
            <w:vAlign w:val="center"/>
          </w:tcPr>
          <w:p w14:paraId="1FFC475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CDB351A">
            <w:pPr>
              <w:jc w:val="right"/>
              <w:rPr>
                <w:rFonts w:ascii="宋体" w:cs="宋体"/>
                <w:sz w:val="20"/>
              </w:rPr>
            </w:pPr>
          </w:p>
        </w:tc>
      </w:tr>
      <w:tr w14:paraId="535B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FA929A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362B445">
            <w:pPr>
              <w:jc w:val="left"/>
              <w:rPr>
                <w:rFonts w:ascii="宋体" w:cs="宋体"/>
                <w:sz w:val="20"/>
              </w:rPr>
            </w:pPr>
            <w:r>
              <w:rPr>
                <w:rFonts w:hint="eastAsia" w:ascii="仿宋_GB2312" w:hAnsi="宋体" w:cs="宋体"/>
                <w:color w:val="000000"/>
                <w:kern w:val="0"/>
                <w:sz w:val="20"/>
              </w:rPr>
              <w:t>用于信息平台服务费</w:t>
            </w:r>
          </w:p>
        </w:tc>
      </w:tr>
      <w:tr w14:paraId="21C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7258CA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E95A42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455FF33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741C7F25">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7226AE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3F5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B23ED7A">
            <w:pPr>
              <w:jc w:val="center"/>
              <w:rPr>
                <w:rFonts w:ascii="宋体" w:cs="宋体"/>
                <w:sz w:val="20"/>
              </w:rPr>
            </w:pPr>
          </w:p>
        </w:tc>
        <w:tc>
          <w:tcPr>
            <w:tcW w:w="723" w:type="dxa"/>
            <w:vMerge w:val="restart"/>
            <w:tcBorders>
              <w:tl2br w:val="nil"/>
              <w:tr2bl w:val="nil"/>
            </w:tcBorders>
            <w:vAlign w:val="center"/>
          </w:tcPr>
          <w:p w14:paraId="24DECF4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128" w:type="dxa"/>
            <w:gridSpan w:val="2"/>
            <w:tcBorders>
              <w:tl2br w:val="nil"/>
              <w:tr2bl w:val="nil"/>
            </w:tcBorders>
            <w:vAlign w:val="center"/>
          </w:tcPr>
          <w:p w14:paraId="318D353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46A2BD9C">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按实际发生执行</w:t>
            </w:r>
          </w:p>
        </w:tc>
        <w:tc>
          <w:tcPr>
            <w:tcW w:w="4228" w:type="dxa"/>
            <w:gridSpan w:val="2"/>
            <w:tcBorders>
              <w:tl2br w:val="nil"/>
              <w:tr2bl w:val="nil"/>
            </w:tcBorders>
            <w:vAlign w:val="center"/>
          </w:tcPr>
          <w:p w14:paraId="23D49FAC">
            <w:pPr>
              <w:jc w:val="center"/>
              <w:rPr>
                <w:rFonts w:ascii="宋体" w:cs="宋体"/>
                <w:sz w:val="20"/>
              </w:rPr>
            </w:pPr>
            <w:r>
              <w:rPr>
                <w:rFonts w:hint="eastAsia" w:ascii="仿宋_GB2312" w:hAnsi="宋体" w:cs="宋体"/>
                <w:color w:val="000000"/>
                <w:kern w:val="0"/>
                <w:sz w:val="20"/>
              </w:rPr>
              <w:t>完成</w:t>
            </w:r>
          </w:p>
        </w:tc>
      </w:tr>
      <w:tr w14:paraId="5B6B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FC13ACF">
            <w:pPr>
              <w:jc w:val="center"/>
              <w:rPr>
                <w:rFonts w:ascii="宋体" w:cs="宋体"/>
                <w:sz w:val="20"/>
              </w:rPr>
            </w:pPr>
          </w:p>
        </w:tc>
        <w:tc>
          <w:tcPr>
            <w:tcW w:w="723" w:type="dxa"/>
            <w:vMerge w:val="continue"/>
            <w:tcBorders>
              <w:tl2br w:val="nil"/>
              <w:tr2bl w:val="nil"/>
            </w:tcBorders>
            <w:vAlign w:val="center"/>
          </w:tcPr>
          <w:p w14:paraId="270E9D2D">
            <w:pPr>
              <w:jc w:val="center"/>
              <w:rPr>
                <w:rFonts w:ascii="宋体" w:cs="宋体"/>
                <w:sz w:val="20"/>
              </w:rPr>
            </w:pPr>
          </w:p>
        </w:tc>
        <w:tc>
          <w:tcPr>
            <w:tcW w:w="1128" w:type="dxa"/>
            <w:gridSpan w:val="2"/>
            <w:tcBorders>
              <w:tl2br w:val="nil"/>
              <w:tr2bl w:val="nil"/>
            </w:tcBorders>
            <w:vAlign w:val="center"/>
          </w:tcPr>
          <w:p w14:paraId="2611789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3360C4E4">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保障卫生院正常运行</w:t>
            </w:r>
          </w:p>
        </w:tc>
        <w:tc>
          <w:tcPr>
            <w:tcW w:w="4228" w:type="dxa"/>
            <w:gridSpan w:val="2"/>
            <w:tcBorders>
              <w:tl2br w:val="nil"/>
              <w:tr2bl w:val="nil"/>
            </w:tcBorders>
            <w:vAlign w:val="center"/>
          </w:tcPr>
          <w:p w14:paraId="6E1C3D56">
            <w:pPr>
              <w:jc w:val="center"/>
              <w:rPr>
                <w:rFonts w:hint="eastAsia" w:ascii="宋体" w:cs="宋体" w:eastAsiaTheme="minorEastAsia"/>
                <w:sz w:val="20"/>
                <w:lang w:eastAsia="zh-CN"/>
              </w:rPr>
            </w:pPr>
            <w:r>
              <w:rPr>
                <w:rFonts w:hint="eastAsia" w:ascii="宋体" w:cs="宋体"/>
                <w:sz w:val="20"/>
                <w:lang w:eastAsia="zh-CN"/>
              </w:rPr>
              <w:t>保障</w:t>
            </w:r>
          </w:p>
        </w:tc>
      </w:tr>
      <w:tr w14:paraId="76D6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857929">
            <w:pPr>
              <w:jc w:val="center"/>
              <w:rPr>
                <w:rFonts w:ascii="宋体" w:cs="宋体"/>
                <w:sz w:val="20"/>
              </w:rPr>
            </w:pPr>
          </w:p>
        </w:tc>
        <w:tc>
          <w:tcPr>
            <w:tcW w:w="723" w:type="dxa"/>
            <w:vMerge w:val="continue"/>
            <w:tcBorders>
              <w:tl2br w:val="nil"/>
              <w:tr2bl w:val="nil"/>
            </w:tcBorders>
            <w:vAlign w:val="center"/>
          </w:tcPr>
          <w:p w14:paraId="60A13800">
            <w:pPr>
              <w:jc w:val="center"/>
              <w:rPr>
                <w:rFonts w:ascii="宋体" w:cs="宋体"/>
                <w:sz w:val="20"/>
              </w:rPr>
            </w:pPr>
          </w:p>
        </w:tc>
        <w:tc>
          <w:tcPr>
            <w:tcW w:w="1128" w:type="dxa"/>
            <w:gridSpan w:val="2"/>
            <w:tcBorders>
              <w:tl2br w:val="nil"/>
              <w:tr2bl w:val="nil"/>
            </w:tcBorders>
            <w:vAlign w:val="center"/>
          </w:tcPr>
          <w:p w14:paraId="5D9B43B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73361A67">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按序时进度完成支付</w:t>
            </w:r>
          </w:p>
        </w:tc>
        <w:tc>
          <w:tcPr>
            <w:tcW w:w="4228" w:type="dxa"/>
            <w:gridSpan w:val="2"/>
            <w:tcBorders>
              <w:tl2br w:val="nil"/>
              <w:tr2bl w:val="nil"/>
            </w:tcBorders>
            <w:vAlign w:val="center"/>
          </w:tcPr>
          <w:p w14:paraId="121D8348">
            <w:pPr>
              <w:jc w:val="center"/>
              <w:rPr>
                <w:rFonts w:hint="eastAsia" w:ascii="宋体" w:cs="宋体" w:eastAsiaTheme="minorEastAsia"/>
                <w:sz w:val="20"/>
                <w:lang w:eastAsia="zh-CN"/>
              </w:rPr>
            </w:pPr>
            <w:r>
              <w:rPr>
                <w:rFonts w:hint="eastAsia" w:ascii="宋体" w:cs="宋体"/>
                <w:sz w:val="20"/>
                <w:lang w:eastAsia="zh-CN"/>
              </w:rPr>
              <w:t>按实支付</w:t>
            </w:r>
          </w:p>
        </w:tc>
      </w:tr>
      <w:tr w14:paraId="654C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12B304">
            <w:pPr>
              <w:jc w:val="center"/>
              <w:rPr>
                <w:rFonts w:ascii="宋体" w:cs="宋体"/>
                <w:sz w:val="20"/>
              </w:rPr>
            </w:pPr>
          </w:p>
        </w:tc>
        <w:tc>
          <w:tcPr>
            <w:tcW w:w="723" w:type="dxa"/>
            <w:vMerge w:val="continue"/>
            <w:tcBorders>
              <w:tl2br w:val="nil"/>
              <w:tr2bl w:val="nil"/>
            </w:tcBorders>
            <w:vAlign w:val="center"/>
          </w:tcPr>
          <w:p w14:paraId="3BB1A15C">
            <w:pPr>
              <w:jc w:val="center"/>
              <w:rPr>
                <w:rFonts w:ascii="宋体" w:cs="宋体"/>
                <w:sz w:val="20"/>
              </w:rPr>
            </w:pPr>
          </w:p>
        </w:tc>
        <w:tc>
          <w:tcPr>
            <w:tcW w:w="1128" w:type="dxa"/>
            <w:gridSpan w:val="2"/>
            <w:tcBorders>
              <w:tl2br w:val="nil"/>
              <w:tr2bl w:val="nil"/>
            </w:tcBorders>
            <w:vAlign w:val="center"/>
          </w:tcPr>
          <w:p w14:paraId="4C73A03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55A3565">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成本</w:t>
            </w:r>
          </w:p>
        </w:tc>
        <w:tc>
          <w:tcPr>
            <w:tcW w:w="4228" w:type="dxa"/>
            <w:gridSpan w:val="2"/>
            <w:tcBorders>
              <w:tl2br w:val="nil"/>
              <w:tr2bl w:val="nil"/>
            </w:tcBorders>
            <w:vAlign w:val="center"/>
          </w:tcPr>
          <w:p w14:paraId="59A2A8FF">
            <w:pPr>
              <w:jc w:val="center"/>
              <w:rPr>
                <w:rFonts w:hint="default" w:ascii="宋体" w:cs="宋体" w:eastAsiaTheme="minorEastAsia"/>
                <w:sz w:val="20"/>
                <w:lang w:val="en-US" w:eastAsia="zh-CN"/>
              </w:rPr>
            </w:pPr>
            <w:r>
              <w:rPr>
                <w:rFonts w:hint="eastAsia" w:ascii="宋体" w:cs="宋体"/>
                <w:sz w:val="20"/>
                <w:lang w:val="en-US" w:eastAsia="zh-CN"/>
              </w:rPr>
              <w:t>400万元</w:t>
            </w:r>
          </w:p>
        </w:tc>
      </w:tr>
      <w:tr w14:paraId="30F1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BA455D">
            <w:pPr>
              <w:jc w:val="center"/>
              <w:rPr>
                <w:rFonts w:ascii="宋体" w:cs="宋体"/>
                <w:sz w:val="20"/>
              </w:rPr>
            </w:pPr>
          </w:p>
        </w:tc>
        <w:tc>
          <w:tcPr>
            <w:tcW w:w="723" w:type="dxa"/>
            <w:vMerge w:val="restart"/>
            <w:tcBorders>
              <w:tl2br w:val="nil"/>
              <w:tr2bl w:val="nil"/>
            </w:tcBorders>
            <w:vAlign w:val="center"/>
          </w:tcPr>
          <w:p w14:paraId="721627C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128" w:type="dxa"/>
            <w:gridSpan w:val="2"/>
            <w:tcBorders>
              <w:tl2br w:val="nil"/>
              <w:tr2bl w:val="nil"/>
            </w:tcBorders>
            <w:vAlign w:val="center"/>
          </w:tcPr>
          <w:p w14:paraId="338607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503" w:type="dxa"/>
            <w:tcBorders>
              <w:tl2br w:val="nil"/>
              <w:tr2bl w:val="nil"/>
            </w:tcBorders>
            <w:vAlign w:val="center"/>
          </w:tcPr>
          <w:p w14:paraId="54501D4A">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7A0F3F27">
            <w:pPr>
              <w:jc w:val="center"/>
              <w:rPr>
                <w:rFonts w:ascii="宋体" w:cs="宋体"/>
                <w:sz w:val="20"/>
              </w:rPr>
            </w:pPr>
          </w:p>
        </w:tc>
      </w:tr>
      <w:tr w14:paraId="253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FB84972">
            <w:pPr>
              <w:jc w:val="center"/>
              <w:rPr>
                <w:rFonts w:ascii="宋体" w:cs="宋体"/>
                <w:sz w:val="20"/>
              </w:rPr>
            </w:pPr>
          </w:p>
        </w:tc>
        <w:tc>
          <w:tcPr>
            <w:tcW w:w="723" w:type="dxa"/>
            <w:vMerge w:val="continue"/>
            <w:tcBorders>
              <w:tl2br w:val="nil"/>
              <w:tr2bl w:val="nil"/>
            </w:tcBorders>
            <w:vAlign w:val="center"/>
          </w:tcPr>
          <w:p w14:paraId="07AC7BE8">
            <w:pPr>
              <w:jc w:val="center"/>
              <w:rPr>
                <w:rFonts w:ascii="宋体" w:cs="宋体"/>
                <w:sz w:val="20"/>
              </w:rPr>
            </w:pPr>
          </w:p>
        </w:tc>
        <w:tc>
          <w:tcPr>
            <w:tcW w:w="1128" w:type="dxa"/>
            <w:gridSpan w:val="2"/>
            <w:tcBorders>
              <w:tl2br w:val="nil"/>
              <w:tr2bl w:val="nil"/>
            </w:tcBorders>
            <w:vAlign w:val="center"/>
          </w:tcPr>
          <w:p w14:paraId="1C83BC1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2C47C7F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提高医疗服务能力知晓率</w:t>
            </w:r>
          </w:p>
        </w:tc>
        <w:tc>
          <w:tcPr>
            <w:tcW w:w="4228" w:type="dxa"/>
            <w:gridSpan w:val="2"/>
            <w:tcBorders>
              <w:tl2br w:val="nil"/>
              <w:tr2bl w:val="nil"/>
            </w:tcBorders>
            <w:vAlign w:val="center"/>
          </w:tcPr>
          <w:p w14:paraId="2B01AE65">
            <w:pPr>
              <w:jc w:val="center"/>
              <w:rPr>
                <w:rFonts w:hint="eastAsia" w:ascii="宋体" w:cs="宋体" w:eastAsiaTheme="minorEastAsia"/>
                <w:sz w:val="20"/>
                <w:lang w:eastAsia="zh-CN"/>
              </w:rPr>
            </w:pPr>
            <w:r>
              <w:rPr>
                <w:rFonts w:hint="eastAsia" w:ascii="宋体" w:cs="宋体"/>
                <w:sz w:val="20"/>
                <w:lang w:eastAsia="zh-CN"/>
              </w:rPr>
              <w:t>逐步提高</w:t>
            </w:r>
          </w:p>
        </w:tc>
      </w:tr>
      <w:tr w14:paraId="334C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E3D5E3">
            <w:pPr>
              <w:jc w:val="center"/>
              <w:rPr>
                <w:rFonts w:ascii="宋体" w:cs="宋体"/>
                <w:sz w:val="20"/>
              </w:rPr>
            </w:pPr>
          </w:p>
        </w:tc>
        <w:tc>
          <w:tcPr>
            <w:tcW w:w="723" w:type="dxa"/>
            <w:vMerge w:val="continue"/>
            <w:tcBorders>
              <w:tl2br w:val="nil"/>
              <w:tr2bl w:val="nil"/>
            </w:tcBorders>
            <w:vAlign w:val="center"/>
          </w:tcPr>
          <w:p w14:paraId="59B7ABE2">
            <w:pPr>
              <w:jc w:val="center"/>
              <w:rPr>
                <w:rFonts w:ascii="宋体" w:cs="宋体"/>
                <w:sz w:val="20"/>
              </w:rPr>
            </w:pPr>
          </w:p>
        </w:tc>
        <w:tc>
          <w:tcPr>
            <w:tcW w:w="1128" w:type="dxa"/>
            <w:gridSpan w:val="2"/>
            <w:tcBorders>
              <w:tl2br w:val="nil"/>
              <w:tr2bl w:val="nil"/>
            </w:tcBorders>
            <w:vAlign w:val="center"/>
          </w:tcPr>
          <w:p w14:paraId="147A738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1F5EE3C9">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保障卫生院正常运转</w:t>
            </w:r>
          </w:p>
        </w:tc>
        <w:tc>
          <w:tcPr>
            <w:tcW w:w="4228" w:type="dxa"/>
            <w:gridSpan w:val="2"/>
            <w:tcBorders>
              <w:tl2br w:val="nil"/>
              <w:tr2bl w:val="nil"/>
            </w:tcBorders>
            <w:vAlign w:val="center"/>
          </w:tcPr>
          <w:p w14:paraId="494B08F1">
            <w:pPr>
              <w:jc w:val="center"/>
              <w:rPr>
                <w:rFonts w:hint="eastAsia" w:ascii="宋体" w:cs="宋体" w:eastAsiaTheme="minorEastAsia"/>
                <w:sz w:val="20"/>
                <w:lang w:eastAsia="zh-CN"/>
              </w:rPr>
            </w:pPr>
            <w:r>
              <w:rPr>
                <w:rFonts w:hint="eastAsia" w:ascii="宋体" w:cs="宋体"/>
                <w:sz w:val="20"/>
                <w:lang w:eastAsia="zh-CN"/>
              </w:rPr>
              <w:t>保障</w:t>
            </w:r>
          </w:p>
        </w:tc>
      </w:tr>
      <w:tr w14:paraId="1F3D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FFA3416">
            <w:pPr>
              <w:jc w:val="center"/>
              <w:rPr>
                <w:rFonts w:ascii="宋体" w:cs="宋体"/>
                <w:sz w:val="20"/>
              </w:rPr>
            </w:pPr>
          </w:p>
        </w:tc>
        <w:tc>
          <w:tcPr>
            <w:tcW w:w="723" w:type="dxa"/>
            <w:vMerge w:val="continue"/>
            <w:tcBorders>
              <w:tl2br w:val="nil"/>
              <w:tr2bl w:val="nil"/>
            </w:tcBorders>
            <w:vAlign w:val="center"/>
          </w:tcPr>
          <w:p w14:paraId="0638A23F">
            <w:pPr>
              <w:jc w:val="center"/>
              <w:rPr>
                <w:rFonts w:ascii="宋体" w:cs="宋体"/>
                <w:sz w:val="20"/>
              </w:rPr>
            </w:pPr>
          </w:p>
        </w:tc>
        <w:tc>
          <w:tcPr>
            <w:tcW w:w="1128" w:type="dxa"/>
            <w:gridSpan w:val="2"/>
            <w:tcBorders>
              <w:tl2br w:val="nil"/>
              <w:tr2bl w:val="nil"/>
            </w:tcBorders>
            <w:vAlign w:val="center"/>
          </w:tcPr>
          <w:p w14:paraId="2F7BB7E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503" w:type="dxa"/>
            <w:tcBorders>
              <w:tl2br w:val="nil"/>
              <w:tr2bl w:val="nil"/>
            </w:tcBorders>
            <w:vAlign w:val="center"/>
          </w:tcPr>
          <w:p w14:paraId="73071A39">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加强卫生院建设</w:t>
            </w:r>
          </w:p>
        </w:tc>
        <w:tc>
          <w:tcPr>
            <w:tcW w:w="4228" w:type="dxa"/>
            <w:gridSpan w:val="2"/>
            <w:tcBorders>
              <w:tl2br w:val="nil"/>
              <w:tr2bl w:val="nil"/>
            </w:tcBorders>
            <w:vAlign w:val="center"/>
          </w:tcPr>
          <w:p w14:paraId="17C32A4B">
            <w:pPr>
              <w:jc w:val="center"/>
              <w:rPr>
                <w:rFonts w:hint="eastAsia" w:ascii="宋体" w:cs="宋体" w:eastAsiaTheme="minorEastAsia"/>
                <w:sz w:val="20"/>
                <w:lang w:eastAsia="zh-CN"/>
              </w:rPr>
            </w:pPr>
            <w:r>
              <w:rPr>
                <w:rFonts w:hint="eastAsia" w:ascii="宋体" w:cs="宋体"/>
                <w:sz w:val="20"/>
                <w:lang w:eastAsia="zh-CN"/>
              </w:rPr>
              <w:t>不断加强</w:t>
            </w:r>
          </w:p>
        </w:tc>
      </w:tr>
    </w:tbl>
    <w:p w14:paraId="55DE7C5A">
      <w:pPr>
        <w:ind w:firstLine="420" w:firstLineChars="200"/>
      </w:pPr>
    </w:p>
    <w:p w14:paraId="11FF12E4">
      <w:pPr>
        <w:ind w:firstLine="420" w:firstLineChars="200"/>
      </w:pPr>
    </w:p>
    <w:p w14:paraId="7B30F8B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sz w:val="32"/>
          <w:szCs w:val="32"/>
        </w:rPr>
        <w:t>烈山区村医养老保险项目</w:t>
      </w:r>
      <w:r>
        <w:rPr>
          <w:rFonts w:hint="eastAsia" w:ascii="TimesNewRoman" w:hAnsi="TimesNewRoman" w:eastAsia="仿宋_GB2312" w:cs="TimesNewRoman"/>
          <w:kern w:val="0"/>
          <w:sz w:val="32"/>
          <w:szCs w:val="32"/>
        </w:rPr>
        <w:t>”项目。</w:t>
      </w:r>
    </w:p>
    <w:p w14:paraId="22A3D12D">
      <w:pPr>
        <w:spacing w:line="560" w:lineRule="exact"/>
        <w:ind w:firstLine="640" w:firstLineChars="200"/>
        <w:rPr>
          <w:rFonts w:hint="eastAsia" w:ascii="仿宋_GB2312"/>
          <w:szCs w:val="21"/>
        </w:rPr>
      </w:pPr>
      <w:r>
        <w:rPr>
          <w:rFonts w:hint="eastAsia" w:ascii="TimesNewRoman" w:hAnsi="TimesNewRoman" w:eastAsia="仿宋_GB2312" w:cs="TimesNewRoman"/>
          <w:kern w:val="0"/>
          <w:sz w:val="32"/>
          <w:szCs w:val="32"/>
        </w:rPr>
        <w:t>（1）项目概</w:t>
      </w:r>
      <w:r>
        <w:rPr>
          <w:rFonts w:hint="eastAsia" w:ascii="仿宋_GB2312" w:hAnsi="仿宋_GB2312" w:eastAsia="仿宋_GB2312" w:cs="仿宋_GB2312"/>
          <w:kern w:val="0"/>
          <w:sz w:val="32"/>
          <w:szCs w:val="32"/>
        </w:rPr>
        <w:t>述</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B03A616">
      <w:pPr>
        <w:ind w:firstLine="640" w:firstLineChars="200"/>
        <w:rPr>
          <w:rFonts w:hint="eastAsia" w:ascii="TimesNewRoman" w:hAnsi="TimesNewRoman" w:cs="TimesNewRoman" w:eastAsiaTheme="minorEastAsia"/>
          <w:kern w:val="0"/>
          <w:sz w:val="32"/>
          <w:szCs w:val="32"/>
          <w:lang w:val="en-US" w:eastAsia="zh-CN"/>
        </w:rPr>
      </w:pPr>
      <w:r>
        <w:rPr>
          <w:rFonts w:hint="eastAsia" w:ascii="TimesNewRoman" w:hAnsi="TimesNewRoman" w:eastAsia="仿宋_GB2312" w:cs="TimesNewRoman"/>
          <w:kern w:val="0"/>
          <w:sz w:val="32"/>
          <w:szCs w:val="32"/>
        </w:rPr>
        <w:t>（2）立项依</w:t>
      </w:r>
      <w:r>
        <w:rPr>
          <w:rFonts w:hint="eastAsia" w:ascii="仿宋_GB2312" w:hAnsi="仿宋_GB2312" w:eastAsia="仿宋_GB2312" w:cs="仿宋_GB2312"/>
          <w:kern w:val="0"/>
          <w:sz w:val="32"/>
          <w:szCs w:val="32"/>
        </w:rPr>
        <w:t>据</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《安徽省人民政府办公厅关于进一步加强乡村医生队伍建设的实施意见》皖政办</w:t>
      </w:r>
      <w:r>
        <w:rPr>
          <w:rFonts w:hint="eastAsia" w:ascii="仿宋_GB2312" w:hAnsi="仿宋_GB2312" w:eastAsia="仿宋_GB2312" w:cs="仿宋_GB2312"/>
          <w:sz w:val="32"/>
          <w:szCs w:val="32"/>
          <w:lang w:eastAsia="zh-CN"/>
        </w:rPr>
        <w:t>〔2013〕18号</w:t>
      </w:r>
      <w:r>
        <w:rPr>
          <w:rFonts w:hint="eastAsia" w:ascii="仿宋_GB2312" w:hAnsi="仿宋_GB2312" w:eastAsia="仿宋_GB2312" w:cs="仿宋_GB2312"/>
          <w:sz w:val="32"/>
          <w:szCs w:val="32"/>
        </w:rPr>
        <w:t>；《淮北市人民政府办公室关于进一步加强乡村医生队伍建设提高村卫生室服务能力的通知》淮政办秘</w:t>
      </w:r>
      <w:r>
        <w:rPr>
          <w:rFonts w:hint="eastAsia" w:ascii="仿宋_GB2312" w:hAnsi="仿宋_GB2312" w:eastAsia="仿宋_GB2312" w:cs="仿宋_GB2312"/>
          <w:sz w:val="32"/>
          <w:szCs w:val="32"/>
          <w:lang w:eastAsia="zh-CN"/>
        </w:rPr>
        <w:t>〔2013〕104号</w:t>
      </w:r>
      <w:r>
        <w:rPr>
          <w:rFonts w:hint="eastAsia" w:ascii="仿宋_GB2312" w:hAnsi="仿宋_GB2312" w:eastAsia="仿宋_GB2312" w:cs="仿宋_GB2312"/>
          <w:kern w:val="0"/>
          <w:sz w:val="32"/>
          <w:szCs w:val="32"/>
        </w:rPr>
        <w:t>。</w:t>
      </w:r>
    </w:p>
    <w:p w14:paraId="26D8ED4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烈山区宋疃镇卫生院</w:t>
      </w:r>
    </w:p>
    <w:p w14:paraId="39B96FB1">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2026年1—12月</w:t>
      </w:r>
    </w:p>
    <w:p w14:paraId="30C4A750">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（5）项目内容</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确保乡村医生的合理待遇，老有所依，能更好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为周边群众提供医疗服务。</w:t>
      </w:r>
    </w:p>
    <w:p w14:paraId="34FB99C3">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25.78万元</w:t>
      </w:r>
    </w:p>
    <w:p w14:paraId="4D889F8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2A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AAEAD1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64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19B33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248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1006A9">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5422B8A">
            <w:pPr>
              <w:jc w:val="center"/>
              <w:rPr>
                <w:rFonts w:hint="default" w:ascii="宋体" w:cs="宋体" w:eastAsiaTheme="minorEastAsia"/>
                <w:sz w:val="20"/>
                <w:lang w:val="en-US" w:eastAsia="zh-CN"/>
              </w:rPr>
            </w:pPr>
            <w:r>
              <w:rPr>
                <w:rFonts w:hint="eastAsia" w:ascii="宋体" w:cs="宋体"/>
                <w:sz w:val="20"/>
                <w:lang w:val="en-US" w:eastAsia="zh-CN"/>
              </w:rPr>
              <w:t>村医养老保险项目</w:t>
            </w:r>
          </w:p>
        </w:tc>
      </w:tr>
      <w:tr w14:paraId="3347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9109D6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693CFCE">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0627915E">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98D6C2">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A6AC3A5">
            <w:pPr>
              <w:jc w:val="center"/>
            </w:pPr>
          </w:p>
        </w:tc>
      </w:tr>
      <w:tr w14:paraId="325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4A4FC3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605A95A">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01609894">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38EB4E8">
            <w:pPr>
              <w:jc w:val="center"/>
              <w:rPr>
                <w:rFonts w:hint="default" w:eastAsiaTheme="minorEastAsia"/>
                <w:lang w:val="en-US" w:eastAsia="zh-CN"/>
              </w:rPr>
            </w:pPr>
            <w:r>
              <w:rPr>
                <w:rFonts w:hint="eastAsia"/>
                <w:lang w:val="en-US" w:eastAsia="zh-CN"/>
              </w:rPr>
              <w:t>2026年</w:t>
            </w:r>
          </w:p>
        </w:tc>
      </w:tr>
      <w:tr w14:paraId="18C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C671AB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48D15A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92CB075">
            <w:pPr>
              <w:jc w:val="center"/>
              <w:rPr>
                <w:rFonts w:hint="default" w:ascii="宋体" w:cs="宋体" w:eastAsiaTheme="minorEastAsia"/>
                <w:sz w:val="20"/>
                <w:lang w:val="en-US" w:eastAsia="zh-CN"/>
              </w:rPr>
            </w:pPr>
            <w:r>
              <w:rPr>
                <w:rFonts w:hint="eastAsia" w:ascii="宋体" w:cs="宋体"/>
                <w:sz w:val="20"/>
                <w:lang w:val="en-US" w:eastAsia="zh-CN"/>
              </w:rPr>
              <w:t>25.78万元</w:t>
            </w:r>
          </w:p>
        </w:tc>
      </w:tr>
      <w:tr w14:paraId="570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969CF31">
            <w:pPr>
              <w:jc w:val="center"/>
              <w:rPr>
                <w:rFonts w:ascii="宋体" w:cs="宋体"/>
                <w:sz w:val="20"/>
              </w:rPr>
            </w:pPr>
          </w:p>
        </w:tc>
        <w:tc>
          <w:tcPr>
            <w:tcW w:w="3349" w:type="dxa"/>
            <w:gridSpan w:val="2"/>
            <w:tcBorders>
              <w:tl2br w:val="nil"/>
              <w:tr2bl w:val="nil"/>
            </w:tcBorders>
            <w:vAlign w:val="center"/>
          </w:tcPr>
          <w:p w14:paraId="69E6425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E8261B">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6E8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BC66471">
            <w:pPr>
              <w:jc w:val="center"/>
              <w:rPr>
                <w:rFonts w:ascii="宋体" w:cs="宋体"/>
                <w:sz w:val="20"/>
              </w:rPr>
            </w:pPr>
          </w:p>
        </w:tc>
        <w:tc>
          <w:tcPr>
            <w:tcW w:w="3349" w:type="dxa"/>
            <w:gridSpan w:val="2"/>
            <w:tcBorders>
              <w:tl2br w:val="nil"/>
              <w:tr2bl w:val="nil"/>
            </w:tcBorders>
            <w:vAlign w:val="center"/>
          </w:tcPr>
          <w:p w14:paraId="6AA5742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ECA5C9C">
            <w:pPr>
              <w:jc w:val="center"/>
              <w:rPr>
                <w:rFonts w:ascii="宋体" w:cs="宋体"/>
                <w:sz w:val="20"/>
              </w:rPr>
            </w:pPr>
          </w:p>
        </w:tc>
      </w:tr>
      <w:tr w14:paraId="067F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FC3B56">
            <w:pPr>
              <w:jc w:val="center"/>
              <w:rPr>
                <w:rFonts w:ascii="宋体" w:cs="宋体"/>
                <w:sz w:val="20"/>
              </w:rPr>
            </w:pPr>
          </w:p>
        </w:tc>
        <w:tc>
          <w:tcPr>
            <w:tcW w:w="3349" w:type="dxa"/>
            <w:gridSpan w:val="2"/>
            <w:tcBorders>
              <w:tl2br w:val="nil"/>
              <w:tr2bl w:val="nil"/>
            </w:tcBorders>
            <w:vAlign w:val="center"/>
          </w:tcPr>
          <w:p w14:paraId="4DFDBB0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09334D2">
            <w:pPr>
              <w:jc w:val="right"/>
              <w:rPr>
                <w:rFonts w:ascii="宋体" w:cs="宋体"/>
                <w:sz w:val="20"/>
              </w:rPr>
            </w:pPr>
          </w:p>
        </w:tc>
      </w:tr>
      <w:tr w14:paraId="09D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B75E6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90F98A6">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确保乡村医生的合理待遇，老有所依，能更好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为周边群众提供医疗服务</w:t>
            </w:r>
          </w:p>
        </w:tc>
      </w:tr>
      <w:tr w14:paraId="304E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26A293">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DDAAE9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6BB1D72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6B51883A">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426EC1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44D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8B7B02">
            <w:pPr>
              <w:jc w:val="center"/>
              <w:rPr>
                <w:rFonts w:ascii="宋体" w:cs="宋体"/>
                <w:sz w:val="20"/>
              </w:rPr>
            </w:pPr>
          </w:p>
        </w:tc>
        <w:tc>
          <w:tcPr>
            <w:tcW w:w="723" w:type="dxa"/>
            <w:vMerge w:val="restart"/>
            <w:tcBorders>
              <w:tl2br w:val="nil"/>
              <w:tr2bl w:val="nil"/>
            </w:tcBorders>
            <w:vAlign w:val="center"/>
          </w:tcPr>
          <w:p w14:paraId="45364F0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128" w:type="dxa"/>
            <w:gridSpan w:val="2"/>
            <w:vMerge w:val="restart"/>
            <w:tcBorders>
              <w:tl2br w:val="nil"/>
              <w:tr2bl w:val="nil"/>
            </w:tcBorders>
            <w:vAlign w:val="center"/>
          </w:tcPr>
          <w:p w14:paraId="3FF86A6B">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1040E55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指标1：享受城乡居民村医人数</w:t>
            </w:r>
          </w:p>
        </w:tc>
        <w:tc>
          <w:tcPr>
            <w:tcW w:w="4228" w:type="dxa"/>
            <w:gridSpan w:val="2"/>
            <w:tcBorders>
              <w:tl2br w:val="nil"/>
              <w:tr2bl w:val="nil"/>
            </w:tcBorders>
            <w:vAlign w:val="center"/>
          </w:tcPr>
          <w:p w14:paraId="5C605243">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按实际缴费人数</w:t>
            </w:r>
          </w:p>
        </w:tc>
      </w:tr>
      <w:tr w14:paraId="3B1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0569EE">
            <w:pPr>
              <w:jc w:val="center"/>
              <w:rPr>
                <w:rFonts w:ascii="宋体" w:cs="宋体"/>
                <w:sz w:val="20"/>
              </w:rPr>
            </w:pPr>
          </w:p>
        </w:tc>
        <w:tc>
          <w:tcPr>
            <w:tcW w:w="723" w:type="dxa"/>
            <w:vMerge w:val="continue"/>
            <w:tcBorders>
              <w:tl2br w:val="nil"/>
              <w:tr2bl w:val="nil"/>
            </w:tcBorders>
            <w:vAlign w:val="center"/>
          </w:tcPr>
          <w:p w14:paraId="6DEB9BA8">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6D389D">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551E3315">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享受城镇居民村医人数</w:t>
            </w:r>
          </w:p>
        </w:tc>
        <w:tc>
          <w:tcPr>
            <w:tcW w:w="4228" w:type="dxa"/>
            <w:gridSpan w:val="2"/>
            <w:tcBorders>
              <w:tl2br w:val="nil"/>
              <w:tr2bl w:val="nil"/>
            </w:tcBorders>
            <w:vAlign w:val="center"/>
          </w:tcPr>
          <w:p w14:paraId="5000456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按实际缴费人数</w:t>
            </w:r>
          </w:p>
        </w:tc>
      </w:tr>
      <w:tr w14:paraId="464E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1D96D2">
            <w:pPr>
              <w:jc w:val="center"/>
              <w:rPr>
                <w:rFonts w:ascii="宋体" w:cs="宋体"/>
                <w:sz w:val="20"/>
              </w:rPr>
            </w:pPr>
          </w:p>
        </w:tc>
        <w:tc>
          <w:tcPr>
            <w:tcW w:w="723" w:type="dxa"/>
            <w:vMerge w:val="continue"/>
            <w:tcBorders>
              <w:tl2br w:val="nil"/>
              <w:tr2bl w:val="nil"/>
            </w:tcBorders>
            <w:vAlign w:val="center"/>
          </w:tcPr>
          <w:p w14:paraId="50170D5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139B5F7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2C8DE9F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指标1：完善乡村医生养老待遇，老有所依，能更好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为周边老百姓提供医疗服务</w:t>
            </w:r>
          </w:p>
        </w:tc>
        <w:tc>
          <w:tcPr>
            <w:tcW w:w="4228" w:type="dxa"/>
            <w:gridSpan w:val="2"/>
            <w:tcBorders>
              <w:tl2br w:val="nil"/>
              <w:tr2bl w:val="nil"/>
            </w:tcBorders>
            <w:vAlign w:val="center"/>
          </w:tcPr>
          <w:p w14:paraId="6F5803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不断提升</w:t>
            </w:r>
          </w:p>
        </w:tc>
      </w:tr>
      <w:tr w14:paraId="09A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7F6CD8BD">
            <w:pPr>
              <w:jc w:val="center"/>
              <w:rPr>
                <w:rFonts w:ascii="宋体" w:cs="宋体"/>
                <w:sz w:val="20"/>
              </w:rPr>
            </w:pPr>
          </w:p>
        </w:tc>
        <w:tc>
          <w:tcPr>
            <w:tcW w:w="723" w:type="dxa"/>
            <w:vMerge w:val="continue"/>
            <w:tcBorders>
              <w:tl2br w:val="nil"/>
              <w:tr2bl w:val="nil"/>
            </w:tcBorders>
            <w:vAlign w:val="center"/>
          </w:tcPr>
          <w:p w14:paraId="1F6AC0DB">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6BC9D34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490C54DC">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指标1：项目按时限完成</w:t>
            </w:r>
          </w:p>
          <w:p w14:paraId="724AB6FC">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6AA2D28B">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2026年1月—12月</w:t>
            </w:r>
          </w:p>
        </w:tc>
      </w:tr>
      <w:tr w14:paraId="697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757C0E">
            <w:pPr>
              <w:jc w:val="center"/>
              <w:rPr>
                <w:rFonts w:ascii="宋体" w:cs="宋体"/>
                <w:sz w:val="20"/>
              </w:rPr>
            </w:pPr>
          </w:p>
        </w:tc>
        <w:tc>
          <w:tcPr>
            <w:tcW w:w="723" w:type="dxa"/>
            <w:vMerge w:val="continue"/>
            <w:tcBorders>
              <w:tl2br w:val="nil"/>
              <w:tr2bl w:val="nil"/>
            </w:tcBorders>
            <w:vAlign w:val="center"/>
          </w:tcPr>
          <w:p w14:paraId="49973B9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8697B8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C1366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指标1：项目成本按绩效目标控制</w:t>
            </w:r>
          </w:p>
        </w:tc>
        <w:tc>
          <w:tcPr>
            <w:tcW w:w="4228" w:type="dxa"/>
            <w:gridSpan w:val="2"/>
            <w:tcBorders>
              <w:tl2br w:val="nil"/>
              <w:tr2bl w:val="nil"/>
            </w:tcBorders>
            <w:vAlign w:val="center"/>
          </w:tcPr>
          <w:p w14:paraId="62C7332C">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25.78万元</w:t>
            </w:r>
          </w:p>
        </w:tc>
      </w:tr>
      <w:tr w14:paraId="2B1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C93660">
            <w:pPr>
              <w:jc w:val="center"/>
              <w:rPr>
                <w:rFonts w:ascii="宋体" w:cs="宋体"/>
                <w:sz w:val="20"/>
              </w:rPr>
            </w:pPr>
          </w:p>
        </w:tc>
        <w:tc>
          <w:tcPr>
            <w:tcW w:w="723" w:type="dxa"/>
            <w:vMerge w:val="continue"/>
            <w:tcBorders>
              <w:tl2br w:val="nil"/>
              <w:tr2bl w:val="nil"/>
            </w:tcBorders>
            <w:vAlign w:val="center"/>
          </w:tcPr>
          <w:p w14:paraId="70194DE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5191792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4107D3E5">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指标1：吸引更多的人才到村医队伍去</w:t>
            </w:r>
          </w:p>
        </w:tc>
        <w:tc>
          <w:tcPr>
            <w:tcW w:w="4228" w:type="dxa"/>
            <w:gridSpan w:val="2"/>
            <w:tcBorders>
              <w:tl2br w:val="nil"/>
              <w:tr2bl w:val="nil"/>
            </w:tcBorders>
            <w:vAlign w:val="center"/>
          </w:tcPr>
          <w:p w14:paraId="6596B944">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引进人才</w:t>
            </w:r>
          </w:p>
        </w:tc>
      </w:tr>
      <w:tr w14:paraId="1D7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99A62F">
            <w:pPr>
              <w:jc w:val="center"/>
              <w:rPr>
                <w:rFonts w:ascii="宋体" w:cs="宋体"/>
                <w:sz w:val="20"/>
              </w:rPr>
            </w:pPr>
          </w:p>
        </w:tc>
        <w:tc>
          <w:tcPr>
            <w:tcW w:w="723" w:type="dxa"/>
            <w:vMerge w:val="continue"/>
            <w:tcBorders>
              <w:tl2br w:val="nil"/>
              <w:tr2bl w:val="nil"/>
            </w:tcBorders>
            <w:vAlign w:val="center"/>
          </w:tcPr>
          <w:p w14:paraId="66BCC4A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E9EE30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43B33626">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5C8ACD49">
            <w:pPr>
              <w:widowControl/>
              <w:jc w:val="left"/>
              <w:textAlignment w:val="center"/>
              <w:rPr>
                <w:rFonts w:hint="eastAsia" w:ascii="宋体" w:hAnsi="宋体" w:eastAsia="宋体" w:cs="宋体"/>
                <w:color w:val="000000"/>
                <w:kern w:val="0"/>
                <w:sz w:val="20"/>
                <w:szCs w:val="20"/>
                <w:lang w:eastAsia="zh-CN"/>
              </w:rPr>
            </w:pPr>
          </w:p>
        </w:tc>
      </w:tr>
      <w:tr w14:paraId="731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62FDC71">
            <w:pPr>
              <w:jc w:val="center"/>
              <w:rPr>
                <w:rFonts w:ascii="宋体" w:cs="宋体"/>
                <w:sz w:val="20"/>
              </w:rPr>
            </w:pPr>
          </w:p>
        </w:tc>
        <w:tc>
          <w:tcPr>
            <w:tcW w:w="723" w:type="dxa"/>
            <w:vMerge w:val="continue"/>
            <w:tcBorders>
              <w:tl2br w:val="nil"/>
              <w:tr2bl w:val="nil"/>
            </w:tcBorders>
            <w:vAlign w:val="center"/>
          </w:tcPr>
          <w:p w14:paraId="1DDE2FD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4E2A324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2503" w:type="dxa"/>
            <w:tcBorders>
              <w:tl2br w:val="nil"/>
              <w:tr2bl w:val="nil"/>
            </w:tcBorders>
            <w:vAlign w:val="center"/>
          </w:tcPr>
          <w:p w14:paraId="3B058D0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指标1：村医老有所依</w:t>
            </w:r>
          </w:p>
        </w:tc>
        <w:tc>
          <w:tcPr>
            <w:tcW w:w="4228" w:type="dxa"/>
            <w:gridSpan w:val="2"/>
            <w:tcBorders>
              <w:tl2br w:val="nil"/>
              <w:tr2bl w:val="nil"/>
            </w:tcBorders>
            <w:vAlign w:val="center"/>
          </w:tcPr>
          <w:p w14:paraId="71D53B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长期</w:t>
            </w:r>
          </w:p>
        </w:tc>
      </w:tr>
      <w:tr w14:paraId="550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55172F5">
            <w:pPr>
              <w:jc w:val="center"/>
              <w:rPr>
                <w:rFonts w:ascii="宋体" w:cs="宋体"/>
                <w:sz w:val="20"/>
              </w:rPr>
            </w:pPr>
          </w:p>
        </w:tc>
        <w:tc>
          <w:tcPr>
            <w:tcW w:w="723" w:type="dxa"/>
            <w:vMerge w:val="restart"/>
            <w:tcBorders>
              <w:tl2br w:val="nil"/>
              <w:tr2bl w:val="nil"/>
            </w:tcBorders>
            <w:vAlign w:val="center"/>
          </w:tcPr>
          <w:p w14:paraId="72A80587">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1128" w:type="dxa"/>
            <w:gridSpan w:val="2"/>
            <w:vMerge w:val="restart"/>
            <w:tcBorders>
              <w:tl2br w:val="nil"/>
              <w:tr2bl w:val="nil"/>
            </w:tcBorders>
            <w:vAlign w:val="center"/>
          </w:tcPr>
          <w:p w14:paraId="1B448AD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2503" w:type="dxa"/>
            <w:tcBorders>
              <w:tl2br w:val="nil"/>
              <w:tr2bl w:val="nil"/>
            </w:tcBorders>
            <w:vAlign w:val="center"/>
          </w:tcPr>
          <w:p w14:paraId="7936393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1：服务对象满意度</w:t>
            </w:r>
          </w:p>
        </w:tc>
        <w:tc>
          <w:tcPr>
            <w:tcW w:w="4228" w:type="dxa"/>
            <w:gridSpan w:val="2"/>
            <w:tcBorders>
              <w:tl2br w:val="nil"/>
              <w:tr2bl w:val="nil"/>
            </w:tcBorders>
            <w:vAlign w:val="center"/>
          </w:tcPr>
          <w:p w14:paraId="3E41182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95</w:t>
            </w:r>
          </w:p>
        </w:tc>
      </w:tr>
      <w:tr w14:paraId="162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42DEBFF">
            <w:pPr>
              <w:jc w:val="center"/>
              <w:rPr>
                <w:rFonts w:ascii="宋体" w:cs="宋体"/>
                <w:sz w:val="20"/>
              </w:rPr>
            </w:pPr>
          </w:p>
        </w:tc>
        <w:tc>
          <w:tcPr>
            <w:tcW w:w="723" w:type="dxa"/>
            <w:vMerge w:val="continue"/>
            <w:tcBorders>
              <w:tl2br w:val="nil"/>
              <w:tr2bl w:val="nil"/>
            </w:tcBorders>
            <w:vAlign w:val="center"/>
          </w:tcPr>
          <w:p w14:paraId="5000D61F">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2CC600">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1D161B0A">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村医对养老保险工作的满意度</w:t>
            </w:r>
          </w:p>
        </w:tc>
        <w:tc>
          <w:tcPr>
            <w:tcW w:w="4228" w:type="dxa"/>
            <w:gridSpan w:val="2"/>
            <w:tcBorders>
              <w:tl2br w:val="nil"/>
              <w:tr2bl w:val="nil"/>
            </w:tcBorders>
            <w:vAlign w:val="center"/>
          </w:tcPr>
          <w:p w14:paraId="0A79492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满意</w:t>
            </w:r>
          </w:p>
        </w:tc>
      </w:tr>
    </w:tbl>
    <w:p w14:paraId="41A4CA4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村卫生室运行</w:t>
      </w:r>
      <w:r>
        <w:rPr>
          <w:rFonts w:hint="eastAsia" w:ascii="TimesNewRoman" w:hAnsi="TimesNewRoman" w:eastAsia="仿宋_GB2312" w:cs="TimesNewRoman"/>
          <w:kern w:val="0"/>
          <w:sz w:val="32"/>
          <w:szCs w:val="32"/>
        </w:rPr>
        <w:t>”项目。</w:t>
      </w:r>
    </w:p>
    <w:p w14:paraId="3C96BCB3">
      <w:pPr>
        <w:spacing w:line="560" w:lineRule="exact"/>
        <w:ind w:firstLine="640" w:firstLineChars="200"/>
        <w:rPr>
          <w:rFonts w:hint="eastAsia" w:ascii="仿宋_GB2312"/>
          <w:szCs w:val="21"/>
        </w:rPr>
      </w:pPr>
      <w:r>
        <w:rPr>
          <w:rFonts w:hint="eastAsia" w:ascii="TimesNewRoman" w:hAnsi="TimesNewRoman" w:eastAsia="仿宋_GB2312" w:cs="TimesNewRoman"/>
          <w:kern w:val="0"/>
          <w:sz w:val="32"/>
          <w:szCs w:val="32"/>
        </w:rPr>
        <w:t>（1）项目</w:t>
      </w:r>
      <w:r>
        <w:rPr>
          <w:rFonts w:hint="eastAsia" w:ascii="仿宋_GB2312" w:hAnsi="仿宋_GB2312" w:eastAsia="仿宋_GB2312" w:cs="仿宋_GB2312"/>
          <w:kern w:val="0"/>
          <w:sz w:val="32"/>
          <w:szCs w:val="32"/>
        </w:rPr>
        <w:t>概述</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3BF074D">
      <w:pPr>
        <w:ind w:firstLine="640" w:firstLineChars="200"/>
        <w:rPr>
          <w:rFonts w:hint="eastAsia" w:ascii="TimesNewRoman" w:hAnsi="TimesNewRoman" w:cs="TimesNewRoman" w:eastAsiaTheme="minorEastAsia"/>
          <w:kern w:val="0"/>
          <w:sz w:val="32"/>
          <w:szCs w:val="32"/>
          <w:lang w:val="en-US" w:eastAsia="zh-CN"/>
        </w:rPr>
      </w:pPr>
      <w:r>
        <w:rPr>
          <w:rFonts w:hint="eastAsia" w:ascii="TimesNewRoman" w:hAnsi="TimesNewRoman" w:eastAsia="仿宋_GB2312" w:cs="TimesNewRoman"/>
          <w:kern w:val="0"/>
          <w:sz w:val="32"/>
          <w:szCs w:val="32"/>
        </w:rPr>
        <w:t>（2）立项依</w:t>
      </w:r>
      <w:r>
        <w:rPr>
          <w:rFonts w:hint="eastAsia" w:ascii="仿宋_GB2312" w:hAnsi="仿宋_GB2312" w:eastAsia="仿宋_GB2312" w:cs="仿宋_GB2312"/>
          <w:kern w:val="0"/>
          <w:sz w:val="32"/>
          <w:szCs w:val="32"/>
        </w:rPr>
        <w:t>据</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《安徽省人民政府办公厅关于进一步完善基层医疗机构和村卫生室运行机制的意见》皖政办</w:t>
      </w:r>
      <w:r>
        <w:rPr>
          <w:rFonts w:hint="eastAsia" w:ascii="仿宋_GB2312" w:hAnsi="仿宋_GB2312" w:eastAsia="仿宋_GB2312" w:cs="仿宋_GB2312"/>
          <w:sz w:val="32"/>
          <w:szCs w:val="32"/>
          <w:lang w:eastAsia="zh-CN"/>
        </w:rPr>
        <w:t>〔2013〕21号</w:t>
      </w:r>
      <w:r>
        <w:rPr>
          <w:rFonts w:hint="eastAsia" w:ascii="仿宋_GB2312" w:hAnsi="仿宋_GB2312" w:eastAsia="仿宋_GB2312" w:cs="仿宋_GB2312"/>
          <w:sz w:val="32"/>
          <w:szCs w:val="32"/>
        </w:rPr>
        <w:t>。</w:t>
      </w:r>
    </w:p>
    <w:p w14:paraId="360F21B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烈山区宋疃镇卫生院</w:t>
      </w:r>
    </w:p>
    <w:p w14:paraId="5ABCC067">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2026年1—12月</w:t>
      </w:r>
    </w:p>
    <w:p w14:paraId="25CFD5C2">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（5）项目内容</w:t>
      </w:r>
      <w:r>
        <w:rPr>
          <w:rFonts w:hint="eastAsia" w:ascii="TimesNewRoman" w:hAnsi="TimesNewRoman" w:eastAsia="仿宋_GB2312" w:cs="TimesNewRoman"/>
          <w:kern w:val="0"/>
          <w:sz w:val="32"/>
          <w:szCs w:val="32"/>
          <w:lang w:eastAsia="zh-CN"/>
        </w:rPr>
        <w:t>：</w:t>
      </w:r>
      <w:r>
        <w:rPr>
          <w:rFonts w:hint="eastAsia" w:ascii="仿宋_GB2312" w:hAnsi="仿宋_GB2312" w:eastAsia="仿宋_GB2312" w:cs="仿宋_GB2312"/>
          <w:sz w:val="32"/>
          <w:szCs w:val="32"/>
        </w:rPr>
        <w:t>确保各村卫生室正常运行，更好地为周边群众提供医疗服务</w:t>
      </w:r>
    </w:p>
    <w:p w14:paraId="78C9BF7B">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7.2万元</w:t>
      </w:r>
    </w:p>
    <w:p w14:paraId="4485573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r>
        <w:rPr>
          <w:rFonts w:hint="eastAsia" w:ascii="TimesNewRoman" w:hAnsi="TimesNewRoman" w:eastAsia="仿宋_GB2312" w:cs="TimesNewRoman"/>
          <w:kern w:val="0"/>
          <w:sz w:val="32"/>
          <w:szCs w:val="32"/>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9A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6B818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24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D56C8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4C80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0AE2C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0BC0994">
            <w:pPr>
              <w:jc w:val="center"/>
              <w:rPr>
                <w:rFonts w:hint="default" w:ascii="宋体" w:cs="宋体" w:eastAsiaTheme="minorEastAsia"/>
                <w:sz w:val="20"/>
                <w:lang w:val="en-US" w:eastAsia="zh-CN"/>
              </w:rPr>
            </w:pPr>
            <w:r>
              <w:rPr>
                <w:rFonts w:hint="eastAsia" w:ascii="宋体" w:cs="宋体"/>
                <w:sz w:val="20"/>
                <w:lang w:val="en-US" w:eastAsia="zh-CN"/>
              </w:rPr>
              <w:t>村卫生室运行项目</w:t>
            </w:r>
          </w:p>
        </w:tc>
      </w:tr>
      <w:tr w14:paraId="2CA2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E80FA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A40BE1C">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2A6526E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D489BF9">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2B067A5">
            <w:pPr>
              <w:jc w:val="center"/>
            </w:pPr>
          </w:p>
        </w:tc>
      </w:tr>
      <w:tr w14:paraId="7FE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5AB7562">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5D61ADF">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7A21536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1359F02">
            <w:pPr>
              <w:jc w:val="center"/>
              <w:rPr>
                <w:rFonts w:hint="default" w:eastAsiaTheme="minorEastAsia"/>
                <w:lang w:val="en-US" w:eastAsia="zh-CN"/>
              </w:rPr>
            </w:pPr>
            <w:r>
              <w:rPr>
                <w:rFonts w:hint="eastAsia"/>
                <w:lang w:val="en-US" w:eastAsia="zh-CN"/>
              </w:rPr>
              <w:t>2026年</w:t>
            </w:r>
          </w:p>
        </w:tc>
      </w:tr>
      <w:tr w14:paraId="41F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77A5CF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0013A1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B9170B4">
            <w:pPr>
              <w:jc w:val="center"/>
              <w:rPr>
                <w:rFonts w:hint="default" w:ascii="宋体" w:cs="宋体" w:eastAsiaTheme="minorEastAsia"/>
                <w:sz w:val="20"/>
                <w:lang w:val="en-US" w:eastAsia="zh-CN"/>
              </w:rPr>
            </w:pPr>
            <w:r>
              <w:rPr>
                <w:rFonts w:hint="eastAsia" w:ascii="宋体" w:cs="宋体"/>
                <w:sz w:val="20"/>
                <w:lang w:val="en-US" w:eastAsia="zh-CN"/>
              </w:rPr>
              <w:t>7.2万元</w:t>
            </w:r>
          </w:p>
        </w:tc>
      </w:tr>
      <w:tr w14:paraId="0ED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63EACE1">
            <w:pPr>
              <w:jc w:val="center"/>
              <w:rPr>
                <w:rFonts w:ascii="宋体" w:cs="宋体"/>
                <w:sz w:val="20"/>
              </w:rPr>
            </w:pPr>
          </w:p>
        </w:tc>
        <w:tc>
          <w:tcPr>
            <w:tcW w:w="3349" w:type="dxa"/>
            <w:gridSpan w:val="2"/>
            <w:tcBorders>
              <w:tl2br w:val="nil"/>
              <w:tr2bl w:val="nil"/>
            </w:tcBorders>
            <w:vAlign w:val="center"/>
          </w:tcPr>
          <w:p w14:paraId="1601FD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7501F44">
            <w:pPr>
              <w:jc w:val="center"/>
              <w:rPr>
                <w:rFonts w:hint="eastAsia" w:ascii="宋体" w:cs="宋体" w:eastAsiaTheme="minorEastAsia"/>
                <w:sz w:val="20"/>
                <w:lang w:val="en-US" w:eastAsia="zh-CN"/>
              </w:rPr>
            </w:pPr>
            <w:r>
              <w:rPr>
                <w:rFonts w:hint="eastAsia" w:ascii="宋体" w:cs="宋体"/>
                <w:sz w:val="20"/>
                <w:lang w:val="en-US" w:eastAsia="zh-CN"/>
              </w:rPr>
              <w:t>7.2万元</w:t>
            </w:r>
          </w:p>
        </w:tc>
      </w:tr>
      <w:tr w14:paraId="33D4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9B47DD4">
            <w:pPr>
              <w:jc w:val="center"/>
              <w:rPr>
                <w:rFonts w:ascii="宋体" w:cs="宋体"/>
                <w:sz w:val="20"/>
              </w:rPr>
            </w:pPr>
          </w:p>
        </w:tc>
        <w:tc>
          <w:tcPr>
            <w:tcW w:w="3349" w:type="dxa"/>
            <w:gridSpan w:val="2"/>
            <w:tcBorders>
              <w:tl2br w:val="nil"/>
              <w:tr2bl w:val="nil"/>
            </w:tcBorders>
            <w:vAlign w:val="center"/>
          </w:tcPr>
          <w:p w14:paraId="143F40A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6E5B4F0">
            <w:pPr>
              <w:jc w:val="center"/>
              <w:rPr>
                <w:rFonts w:ascii="宋体" w:cs="宋体"/>
                <w:sz w:val="20"/>
              </w:rPr>
            </w:pPr>
          </w:p>
        </w:tc>
      </w:tr>
      <w:tr w14:paraId="2EEF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5E713B2">
            <w:pPr>
              <w:jc w:val="center"/>
              <w:rPr>
                <w:rFonts w:ascii="宋体" w:cs="宋体"/>
                <w:sz w:val="20"/>
              </w:rPr>
            </w:pPr>
          </w:p>
        </w:tc>
        <w:tc>
          <w:tcPr>
            <w:tcW w:w="3349" w:type="dxa"/>
            <w:gridSpan w:val="2"/>
            <w:tcBorders>
              <w:tl2br w:val="nil"/>
              <w:tr2bl w:val="nil"/>
            </w:tcBorders>
            <w:vAlign w:val="center"/>
          </w:tcPr>
          <w:p w14:paraId="5CCE44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33AE2B6">
            <w:pPr>
              <w:jc w:val="right"/>
              <w:rPr>
                <w:rFonts w:ascii="宋体" w:cs="宋体"/>
                <w:sz w:val="20"/>
              </w:rPr>
            </w:pPr>
          </w:p>
        </w:tc>
      </w:tr>
      <w:tr w14:paraId="2B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F0FF07">
            <w:pPr>
              <w:jc w:val="center"/>
              <w:rPr>
                <w:rFonts w:hint="eastAsia" w:ascii="仿宋_GB2312" w:hAnsi="宋体" w:cs="宋体"/>
                <w:color w:val="000000"/>
                <w:kern w:val="0"/>
                <w:sz w:val="20"/>
              </w:rPr>
            </w:pPr>
            <w:r>
              <w:rPr>
                <w:rFonts w:hint="eastAsia" w:ascii="仿宋_GB2312" w:hAnsi="宋体" w:cs="宋体"/>
                <w:color w:val="000000"/>
                <w:kern w:val="0"/>
                <w:sz w:val="20"/>
              </w:rPr>
              <w:t>年度</w:t>
            </w:r>
            <w:r>
              <w:rPr>
                <w:rFonts w:hint="eastAsia" w:ascii="仿宋_GB2312" w:hAnsi="宋体" w:cs="宋体"/>
                <w:color w:val="000000"/>
                <w:kern w:val="0"/>
                <w:sz w:val="20"/>
              </w:rPr>
              <w:br w:type="textWrapping"/>
            </w:r>
            <w:r>
              <w:rPr>
                <w:rFonts w:hint="eastAsia" w:ascii="仿宋_GB2312" w:hAnsi="宋体" w:cs="宋体"/>
                <w:color w:val="000000"/>
                <w:kern w:val="0"/>
                <w:sz w:val="20"/>
              </w:rPr>
              <w:t>目标</w:t>
            </w:r>
          </w:p>
        </w:tc>
        <w:tc>
          <w:tcPr>
            <w:tcW w:w="8582" w:type="dxa"/>
            <w:gridSpan w:val="6"/>
            <w:tcBorders>
              <w:tl2br w:val="nil"/>
              <w:tr2bl w:val="nil"/>
            </w:tcBorders>
            <w:vAlign w:val="center"/>
          </w:tcPr>
          <w:p w14:paraId="74D10B59">
            <w:pPr>
              <w:jc w:val="center"/>
              <w:rPr>
                <w:rFonts w:hint="eastAsia" w:ascii="仿宋_GB2312" w:hAnsi="宋体" w:cs="宋体"/>
                <w:color w:val="000000"/>
                <w:kern w:val="0"/>
                <w:sz w:val="20"/>
                <w:lang w:eastAsia="zh-CN"/>
              </w:rPr>
            </w:pPr>
            <w:r>
              <w:rPr>
                <w:rFonts w:hint="eastAsia" w:ascii="仿宋_GB2312" w:hAnsi="宋体" w:cs="宋体"/>
                <w:color w:val="000000"/>
                <w:kern w:val="0"/>
                <w:sz w:val="20"/>
              </w:rPr>
              <w:t>确保各村卫生室正常运行，更好地为周边群众提供医疗服务</w:t>
            </w:r>
            <w:r>
              <w:rPr>
                <w:rFonts w:hint="eastAsia" w:ascii="仿宋_GB2312" w:hAnsi="宋体" w:cs="宋体"/>
                <w:color w:val="000000"/>
                <w:kern w:val="0"/>
                <w:sz w:val="20"/>
                <w:lang w:eastAsia="zh-CN"/>
              </w:rPr>
              <w:t>。</w:t>
            </w:r>
          </w:p>
        </w:tc>
      </w:tr>
      <w:tr w14:paraId="53D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8" w:type="dxa"/>
            <w:vMerge w:val="restart"/>
            <w:tcBorders>
              <w:tl2br w:val="nil"/>
              <w:tr2bl w:val="nil"/>
            </w:tcBorders>
            <w:vAlign w:val="center"/>
          </w:tcPr>
          <w:p w14:paraId="63E2D28A">
            <w:pPr>
              <w:jc w:val="center"/>
              <w:rPr>
                <w:rFonts w:hint="eastAsia" w:ascii="仿宋_GB2312" w:hAnsi="宋体" w:cs="宋体"/>
                <w:color w:val="000000"/>
                <w:kern w:val="0"/>
                <w:sz w:val="20"/>
              </w:rPr>
            </w:pPr>
            <w:r>
              <w:rPr>
                <w:rFonts w:hint="eastAsia" w:ascii="仿宋_GB2312" w:hAnsi="宋体" w:cs="宋体"/>
                <w:color w:val="000000"/>
                <w:kern w:val="0"/>
                <w:sz w:val="20"/>
              </w:rPr>
              <w:t>绩</w:t>
            </w:r>
            <w:r>
              <w:rPr>
                <w:rFonts w:hint="eastAsia" w:ascii="仿宋_GB2312" w:hAnsi="宋体" w:cs="宋体"/>
                <w:color w:val="000000"/>
                <w:kern w:val="0"/>
                <w:sz w:val="20"/>
              </w:rPr>
              <w:br w:type="textWrapping"/>
            </w:r>
            <w:r>
              <w:rPr>
                <w:rFonts w:hint="eastAsia" w:ascii="仿宋_GB2312" w:hAnsi="宋体" w:cs="宋体"/>
                <w:color w:val="000000"/>
                <w:kern w:val="0"/>
                <w:sz w:val="20"/>
              </w:rPr>
              <w:t>效</w:t>
            </w:r>
            <w:r>
              <w:rPr>
                <w:rFonts w:hint="eastAsia" w:ascii="仿宋_GB2312" w:hAnsi="宋体" w:cs="宋体"/>
                <w:color w:val="000000"/>
                <w:kern w:val="0"/>
                <w:sz w:val="20"/>
              </w:rPr>
              <w:br w:type="textWrapping"/>
            </w:r>
            <w:r>
              <w:rPr>
                <w:rFonts w:hint="eastAsia" w:ascii="仿宋_GB2312" w:hAnsi="宋体" w:cs="宋体"/>
                <w:color w:val="000000"/>
                <w:kern w:val="0"/>
                <w:sz w:val="20"/>
              </w:rPr>
              <w:t>指</w:t>
            </w:r>
            <w:r>
              <w:rPr>
                <w:rFonts w:hint="eastAsia" w:ascii="仿宋_GB2312" w:hAnsi="宋体" w:cs="宋体"/>
                <w:color w:val="000000"/>
                <w:kern w:val="0"/>
                <w:sz w:val="20"/>
              </w:rPr>
              <w:br w:type="textWrapping"/>
            </w:r>
            <w:r>
              <w:rPr>
                <w:rFonts w:hint="eastAsia" w:ascii="仿宋_GB2312" w:hAnsi="宋体" w:cs="宋体"/>
                <w:color w:val="000000"/>
                <w:kern w:val="0"/>
                <w:sz w:val="20"/>
              </w:rPr>
              <w:t>标</w:t>
            </w:r>
          </w:p>
        </w:tc>
        <w:tc>
          <w:tcPr>
            <w:tcW w:w="723" w:type="dxa"/>
            <w:tcBorders>
              <w:tl2br w:val="nil"/>
              <w:tr2bl w:val="nil"/>
            </w:tcBorders>
            <w:vAlign w:val="center"/>
          </w:tcPr>
          <w:p w14:paraId="6F9D8A73">
            <w:pPr>
              <w:jc w:val="center"/>
              <w:rPr>
                <w:rFonts w:hint="eastAsia" w:ascii="仿宋_GB2312" w:hAnsi="宋体" w:cs="宋体"/>
                <w:color w:val="000000"/>
                <w:kern w:val="0"/>
                <w:sz w:val="20"/>
              </w:rPr>
            </w:pPr>
            <w:r>
              <w:rPr>
                <w:rFonts w:hint="eastAsia" w:ascii="仿宋_GB2312" w:hAnsi="宋体" w:cs="宋体"/>
                <w:color w:val="000000"/>
                <w:kern w:val="0"/>
                <w:sz w:val="20"/>
              </w:rPr>
              <w:t>一级</w:t>
            </w:r>
            <w:r>
              <w:rPr>
                <w:rFonts w:hint="eastAsia" w:ascii="仿宋_GB2312" w:hAnsi="宋体" w:cs="宋体"/>
                <w:color w:val="000000"/>
                <w:kern w:val="0"/>
                <w:sz w:val="20"/>
              </w:rPr>
              <w:br w:type="textWrapping"/>
            </w:r>
            <w:r>
              <w:rPr>
                <w:rFonts w:hint="eastAsia" w:ascii="仿宋_GB2312" w:hAnsi="宋体" w:cs="宋体"/>
                <w:color w:val="000000"/>
                <w:kern w:val="0"/>
                <w:sz w:val="20"/>
              </w:rPr>
              <w:t>指标</w:t>
            </w:r>
          </w:p>
        </w:tc>
        <w:tc>
          <w:tcPr>
            <w:tcW w:w="1128" w:type="dxa"/>
            <w:gridSpan w:val="2"/>
            <w:tcBorders>
              <w:tl2br w:val="nil"/>
              <w:tr2bl w:val="nil"/>
            </w:tcBorders>
            <w:vAlign w:val="center"/>
          </w:tcPr>
          <w:p w14:paraId="4EE8796E">
            <w:pPr>
              <w:jc w:val="center"/>
              <w:rPr>
                <w:rFonts w:hint="eastAsia" w:ascii="仿宋_GB2312" w:hAnsi="宋体" w:cs="宋体"/>
                <w:color w:val="000000"/>
                <w:kern w:val="0"/>
                <w:sz w:val="20"/>
              </w:rPr>
            </w:pPr>
            <w:r>
              <w:rPr>
                <w:rFonts w:hint="eastAsia" w:ascii="仿宋_GB2312" w:hAnsi="宋体" w:cs="宋体"/>
                <w:color w:val="000000"/>
                <w:kern w:val="0"/>
                <w:sz w:val="20"/>
              </w:rPr>
              <w:t>二级指标</w:t>
            </w:r>
          </w:p>
        </w:tc>
        <w:tc>
          <w:tcPr>
            <w:tcW w:w="2503" w:type="dxa"/>
            <w:tcBorders>
              <w:tl2br w:val="nil"/>
              <w:tr2bl w:val="nil"/>
            </w:tcBorders>
            <w:vAlign w:val="center"/>
          </w:tcPr>
          <w:p w14:paraId="1AD996FB">
            <w:pPr>
              <w:jc w:val="center"/>
              <w:rPr>
                <w:rFonts w:hint="eastAsia" w:ascii="仿宋_GB2312" w:hAnsi="宋体" w:cs="宋体"/>
                <w:color w:val="000000"/>
                <w:kern w:val="0"/>
                <w:sz w:val="20"/>
              </w:rPr>
            </w:pPr>
            <w:r>
              <w:rPr>
                <w:rFonts w:hint="eastAsia" w:ascii="仿宋_GB2312" w:hAnsi="宋体" w:cs="宋体"/>
                <w:color w:val="000000"/>
                <w:kern w:val="0"/>
                <w:sz w:val="20"/>
              </w:rPr>
              <w:t>三级指标</w:t>
            </w:r>
          </w:p>
        </w:tc>
        <w:tc>
          <w:tcPr>
            <w:tcW w:w="4228" w:type="dxa"/>
            <w:gridSpan w:val="2"/>
            <w:tcBorders>
              <w:tl2br w:val="nil"/>
              <w:tr2bl w:val="nil"/>
            </w:tcBorders>
            <w:vAlign w:val="center"/>
          </w:tcPr>
          <w:p w14:paraId="606A0383">
            <w:pPr>
              <w:jc w:val="center"/>
              <w:rPr>
                <w:rFonts w:hint="eastAsia" w:ascii="仿宋_GB2312" w:hAnsi="宋体" w:cs="宋体"/>
                <w:color w:val="000000"/>
                <w:kern w:val="0"/>
                <w:sz w:val="20"/>
              </w:rPr>
            </w:pPr>
            <w:r>
              <w:rPr>
                <w:rFonts w:hint="eastAsia" w:ascii="仿宋_GB2312" w:hAnsi="宋体" w:cs="宋体"/>
                <w:color w:val="000000"/>
                <w:kern w:val="0"/>
                <w:sz w:val="20"/>
              </w:rPr>
              <w:t>指标值</w:t>
            </w:r>
          </w:p>
        </w:tc>
      </w:tr>
      <w:tr w14:paraId="26B9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F20C3D">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073385F8">
            <w:pPr>
              <w:jc w:val="center"/>
              <w:rPr>
                <w:rFonts w:hint="eastAsia" w:ascii="仿宋_GB2312" w:hAnsi="宋体" w:cs="宋体"/>
                <w:color w:val="000000"/>
                <w:kern w:val="0"/>
                <w:sz w:val="20"/>
              </w:rPr>
            </w:pPr>
            <w:r>
              <w:rPr>
                <w:rFonts w:hint="eastAsia" w:ascii="仿宋_GB2312" w:hAnsi="宋体" w:cs="宋体"/>
                <w:color w:val="000000"/>
                <w:kern w:val="0"/>
                <w:sz w:val="20"/>
              </w:rPr>
              <w:t>产出指标</w:t>
            </w:r>
          </w:p>
        </w:tc>
        <w:tc>
          <w:tcPr>
            <w:tcW w:w="1128" w:type="dxa"/>
            <w:gridSpan w:val="2"/>
            <w:vMerge w:val="restart"/>
            <w:tcBorders>
              <w:tl2br w:val="nil"/>
              <w:tr2bl w:val="nil"/>
            </w:tcBorders>
            <w:vAlign w:val="center"/>
          </w:tcPr>
          <w:p w14:paraId="2CE5DFBB">
            <w:pPr>
              <w:jc w:val="center"/>
              <w:rPr>
                <w:rFonts w:hint="eastAsia" w:ascii="仿宋_GB2312" w:hAnsi="宋体" w:cs="宋体"/>
                <w:color w:val="000000"/>
                <w:kern w:val="0"/>
                <w:sz w:val="20"/>
              </w:rPr>
            </w:pPr>
            <w:r>
              <w:rPr>
                <w:rFonts w:hint="eastAsia" w:ascii="仿宋_GB2312" w:hAnsi="宋体" w:cs="宋体"/>
                <w:color w:val="000000"/>
                <w:kern w:val="0"/>
                <w:sz w:val="20"/>
              </w:rPr>
              <w:t>数量指标</w:t>
            </w:r>
          </w:p>
        </w:tc>
        <w:tc>
          <w:tcPr>
            <w:tcW w:w="2503" w:type="dxa"/>
            <w:tcBorders>
              <w:tl2br w:val="nil"/>
              <w:tr2bl w:val="nil"/>
            </w:tcBorders>
            <w:vAlign w:val="center"/>
          </w:tcPr>
          <w:p w14:paraId="0E7AD6C5">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指标1：村卫生室运行补助个数</w:t>
            </w:r>
          </w:p>
        </w:tc>
        <w:tc>
          <w:tcPr>
            <w:tcW w:w="4228" w:type="dxa"/>
            <w:gridSpan w:val="2"/>
            <w:tcBorders>
              <w:tl2br w:val="nil"/>
              <w:tr2bl w:val="nil"/>
            </w:tcBorders>
            <w:vAlign w:val="center"/>
          </w:tcPr>
          <w:p w14:paraId="7170050A">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12个</w:t>
            </w:r>
          </w:p>
        </w:tc>
      </w:tr>
      <w:tr w14:paraId="7310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BB50E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4244D1F">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AF47413">
            <w:pPr>
              <w:jc w:val="center"/>
              <w:rPr>
                <w:rFonts w:hint="eastAsia" w:ascii="仿宋_GB2312" w:hAnsi="宋体" w:cs="宋体"/>
                <w:color w:val="000000"/>
                <w:kern w:val="0"/>
                <w:sz w:val="20"/>
              </w:rPr>
            </w:pPr>
          </w:p>
        </w:tc>
        <w:tc>
          <w:tcPr>
            <w:tcW w:w="2503" w:type="dxa"/>
            <w:tcBorders>
              <w:tl2br w:val="nil"/>
              <w:tr2bl w:val="nil"/>
            </w:tcBorders>
            <w:vAlign w:val="center"/>
          </w:tcPr>
          <w:p w14:paraId="14115AA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完成率</w:t>
            </w:r>
          </w:p>
        </w:tc>
        <w:tc>
          <w:tcPr>
            <w:tcW w:w="4228" w:type="dxa"/>
            <w:gridSpan w:val="2"/>
            <w:tcBorders>
              <w:tl2br w:val="nil"/>
              <w:tr2bl w:val="nil"/>
            </w:tcBorders>
            <w:vAlign w:val="center"/>
          </w:tcPr>
          <w:p w14:paraId="6FAD7DC4">
            <w:pPr>
              <w:jc w:val="center"/>
              <w:rPr>
                <w:rFonts w:hint="default" w:ascii="仿宋_GB2312" w:hAnsi="宋体" w:cs="宋体"/>
                <w:color w:val="000000"/>
                <w:kern w:val="0"/>
                <w:sz w:val="20"/>
                <w:lang w:val="en-US"/>
              </w:rPr>
            </w:pPr>
            <w:r>
              <w:rPr>
                <w:rFonts w:hint="eastAsia" w:ascii="仿宋_GB2312" w:hAnsi="宋体" w:cs="宋体"/>
                <w:color w:val="000000"/>
                <w:kern w:val="0"/>
                <w:sz w:val="20"/>
                <w:lang w:val="en-US" w:eastAsia="zh-CN"/>
              </w:rPr>
              <w:t>100%</w:t>
            </w:r>
          </w:p>
        </w:tc>
      </w:tr>
      <w:tr w14:paraId="0A9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6D5F48">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22C4484C">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768ECADA">
            <w:pPr>
              <w:jc w:val="center"/>
              <w:rPr>
                <w:rFonts w:hint="eastAsia" w:ascii="仿宋_GB2312" w:hAnsi="宋体" w:cs="宋体"/>
                <w:color w:val="000000"/>
                <w:kern w:val="0"/>
                <w:sz w:val="20"/>
              </w:rPr>
            </w:pPr>
            <w:r>
              <w:rPr>
                <w:rFonts w:hint="eastAsia" w:ascii="仿宋_GB2312" w:hAnsi="宋体" w:cs="宋体"/>
                <w:color w:val="000000"/>
                <w:kern w:val="0"/>
                <w:sz w:val="20"/>
              </w:rPr>
              <w:t>质量指标</w:t>
            </w:r>
          </w:p>
        </w:tc>
        <w:tc>
          <w:tcPr>
            <w:tcW w:w="2503" w:type="dxa"/>
            <w:tcBorders>
              <w:tl2br w:val="nil"/>
              <w:tr2bl w:val="nil"/>
            </w:tcBorders>
            <w:vAlign w:val="center"/>
          </w:tcPr>
          <w:p w14:paraId="73E16ADB">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指标1：村卫生室运行补助经费发放到位率%</w:t>
            </w:r>
          </w:p>
        </w:tc>
        <w:tc>
          <w:tcPr>
            <w:tcW w:w="4228" w:type="dxa"/>
            <w:gridSpan w:val="2"/>
            <w:tcBorders>
              <w:tl2br w:val="nil"/>
              <w:tr2bl w:val="nil"/>
            </w:tcBorders>
            <w:vAlign w:val="center"/>
          </w:tcPr>
          <w:p w14:paraId="5D6AA35E">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100%</w:t>
            </w:r>
          </w:p>
        </w:tc>
      </w:tr>
      <w:tr w14:paraId="419F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499E8BBE">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09AF77CE">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0E753F1E">
            <w:pPr>
              <w:jc w:val="center"/>
              <w:rPr>
                <w:rFonts w:hint="eastAsia" w:ascii="仿宋_GB2312" w:hAnsi="宋体" w:cs="宋体"/>
                <w:color w:val="000000"/>
                <w:kern w:val="0"/>
                <w:sz w:val="20"/>
              </w:rPr>
            </w:pPr>
            <w:r>
              <w:rPr>
                <w:rFonts w:hint="eastAsia" w:ascii="仿宋_GB2312" w:hAnsi="宋体" w:cs="宋体"/>
                <w:color w:val="000000"/>
                <w:kern w:val="0"/>
                <w:sz w:val="20"/>
              </w:rPr>
              <w:t>时效指标</w:t>
            </w:r>
          </w:p>
        </w:tc>
        <w:tc>
          <w:tcPr>
            <w:tcW w:w="2503" w:type="dxa"/>
            <w:tcBorders>
              <w:tl2br w:val="nil"/>
              <w:tr2bl w:val="nil"/>
            </w:tcBorders>
            <w:vAlign w:val="center"/>
          </w:tcPr>
          <w:p w14:paraId="72AD55C9">
            <w:pPr>
              <w:jc w:val="center"/>
              <w:rPr>
                <w:rFonts w:hint="eastAsia" w:ascii="仿宋_GB2312" w:hAnsi="宋体" w:cs="宋体"/>
                <w:color w:val="000000"/>
                <w:kern w:val="0"/>
                <w:sz w:val="20"/>
              </w:rPr>
            </w:pPr>
            <w:r>
              <w:rPr>
                <w:rFonts w:hint="eastAsia" w:ascii="仿宋_GB2312" w:hAnsi="宋体" w:cs="宋体"/>
                <w:color w:val="000000"/>
                <w:kern w:val="0"/>
                <w:sz w:val="20"/>
              </w:rPr>
              <w:t>指标1：项目按时限完成</w:t>
            </w:r>
          </w:p>
          <w:p w14:paraId="61231754">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2364434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2026年1月—12月</w:t>
            </w:r>
          </w:p>
        </w:tc>
      </w:tr>
      <w:tr w14:paraId="6AC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B7B91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12552099">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8ABC48">
            <w:pPr>
              <w:jc w:val="center"/>
              <w:rPr>
                <w:rFonts w:hint="eastAsia" w:ascii="仿宋_GB2312" w:hAnsi="宋体" w:cs="宋体"/>
                <w:color w:val="000000"/>
                <w:kern w:val="0"/>
                <w:sz w:val="20"/>
              </w:rPr>
            </w:pPr>
            <w:r>
              <w:rPr>
                <w:rFonts w:hint="eastAsia" w:ascii="仿宋_GB2312" w:hAnsi="宋体" w:cs="宋体"/>
                <w:color w:val="000000"/>
                <w:kern w:val="0"/>
                <w:sz w:val="20"/>
              </w:rPr>
              <w:t>成本指标</w:t>
            </w:r>
          </w:p>
        </w:tc>
        <w:tc>
          <w:tcPr>
            <w:tcW w:w="2503" w:type="dxa"/>
            <w:tcBorders>
              <w:tl2br w:val="nil"/>
              <w:tr2bl w:val="nil"/>
            </w:tcBorders>
            <w:vAlign w:val="center"/>
          </w:tcPr>
          <w:p w14:paraId="6AFBBCA8">
            <w:pPr>
              <w:jc w:val="center"/>
              <w:rPr>
                <w:rFonts w:hint="eastAsia" w:ascii="仿宋_GB2312" w:hAnsi="宋体" w:cs="宋体"/>
                <w:color w:val="000000"/>
                <w:kern w:val="0"/>
                <w:sz w:val="20"/>
              </w:rPr>
            </w:pPr>
            <w:r>
              <w:rPr>
                <w:rFonts w:hint="eastAsia" w:ascii="仿宋_GB2312" w:hAnsi="宋体" w:cs="宋体"/>
                <w:color w:val="000000"/>
                <w:kern w:val="0"/>
                <w:sz w:val="20"/>
              </w:rPr>
              <w:t>指标1：项目成本按绩效目标控制</w:t>
            </w:r>
          </w:p>
        </w:tc>
        <w:tc>
          <w:tcPr>
            <w:tcW w:w="4228" w:type="dxa"/>
            <w:gridSpan w:val="2"/>
            <w:tcBorders>
              <w:tl2br w:val="nil"/>
              <w:tr2bl w:val="nil"/>
            </w:tcBorders>
            <w:vAlign w:val="center"/>
          </w:tcPr>
          <w:p w14:paraId="706B69BB">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按照政策规定标准小计7.2万元</w:t>
            </w:r>
          </w:p>
        </w:tc>
      </w:tr>
      <w:tr w14:paraId="6AB7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9411FC">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0D9B341">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B113AF">
            <w:pPr>
              <w:jc w:val="center"/>
              <w:rPr>
                <w:rFonts w:hint="eastAsia" w:ascii="仿宋_GB2312" w:hAnsi="宋体" w:cs="宋体"/>
                <w:color w:val="000000"/>
                <w:kern w:val="0"/>
                <w:sz w:val="20"/>
              </w:rPr>
            </w:pPr>
            <w:r>
              <w:rPr>
                <w:rFonts w:hint="eastAsia" w:ascii="仿宋_GB2312" w:hAnsi="宋体" w:cs="宋体"/>
                <w:color w:val="000000"/>
                <w:kern w:val="0"/>
                <w:sz w:val="20"/>
              </w:rPr>
              <w:t>社会效益指标</w:t>
            </w:r>
          </w:p>
        </w:tc>
        <w:tc>
          <w:tcPr>
            <w:tcW w:w="2503" w:type="dxa"/>
            <w:tcBorders>
              <w:tl2br w:val="nil"/>
              <w:tr2bl w:val="nil"/>
            </w:tcBorders>
            <w:vAlign w:val="center"/>
          </w:tcPr>
          <w:p w14:paraId="5803EA6D">
            <w:pPr>
              <w:jc w:val="center"/>
              <w:rPr>
                <w:rFonts w:hint="eastAsia" w:ascii="仿宋_GB2312" w:hAnsi="宋体" w:cs="宋体"/>
                <w:color w:val="000000"/>
                <w:kern w:val="0"/>
                <w:sz w:val="20"/>
              </w:rPr>
            </w:pPr>
            <w:r>
              <w:rPr>
                <w:rFonts w:hint="eastAsia" w:ascii="仿宋_GB2312" w:hAnsi="宋体" w:cs="宋体"/>
                <w:color w:val="000000"/>
                <w:kern w:val="0"/>
                <w:sz w:val="20"/>
              </w:rPr>
              <w:t>指标1：各村卫生室正常运行，更好地为周边群众提供医疗服务</w:t>
            </w:r>
          </w:p>
        </w:tc>
        <w:tc>
          <w:tcPr>
            <w:tcW w:w="4228" w:type="dxa"/>
            <w:gridSpan w:val="2"/>
            <w:tcBorders>
              <w:tl2br w:val="nil"/>
              <w:tr2bl w:val="nil"/>
            </w:tcBorders>
            <w:vAlign w:val="center"/>
          </w:tcPr>
          <w:p w14:paraId="70A5AB54">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长期正常运行</w:t>
            </w:r>
          </w:p>
        </w:tc>
      </w:tr>
      <w:tr w14:paraId="335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230203">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64B62515">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587AB4A">
            <w:pPr>
              <w:jc w:val="center"/>
              <w:rPr>
                <w:rFonts w:hint="eastAsia" w:ascii="仿宋_GB2312" w:hAnsi="宋体" w:cs="宋体"/>
                <w:color w:val="000000"/>
                <w:kern w:val="0"/>
                <w:sz w:val="20"/>
              </w:rPr>
            </w:pPr>
            <w:r>
              <w:rPr>
                <w:rFonts w:hint="eastAsia" w:ascii="仿宋_GB2312" w:hAnsi="宋体" w:cs="宋体"/>
                <w:color w:val="000000"/>
                <w:kern w:val="0"/>
                <w:sz w:val="20"/>
              </w:rPr>
              <w:t>生态效益指标</w:t>
            </w:r>
          </w:p>
        </w:tc>
        <w:tc>
          <w:tcPr>
            <w:tcW w:w="2503" w:type="dxa"/>
            <w:tcBorders>
              <w:tl2br w:val="nil"/>
              <w:tr2bl w:val="nil"/>
            </w:tcBorders>
            <w:vAlign w:val="center"/>
          </w:tcPr>
          <w:p w14:paraId="2F4AB6FA">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4656D41A">
            <w:pPr>
              <w:jc w:val="center"/>
              <w:rPr>
                <w:rFonts w:hint="eastAsia" w:ascii="仿宋_GB2312" w:hAnsi="宋体" w:cs="宋体"/>
                <w:color w:val="000000"/>
                <w:kern w:val="0"/>
                <w:sz w:val="20"/>
                <w:lang w:eastAsia="zh-CN"/>
              </w:rPr>
            </w:pPr>
          </w:p>
        </w:tc>
      </w:tr>
      <w:tr w14:paraId="7E0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D40404">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BE167CB">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36ED3485">
            <w:pPr>
              <w:jc w:val="center"/>
              <w:rPr>
                <w:rFonts w:hint="eastAsia" w:ascii="仿宋_GB2312" w:hAnsi="宋体" w:cs="宋体"/>
                <w:color w:val="000000"/>
                <w:kern w:val="0"/>
                <w:sz w:val="20"/>
              </w:rPr>
            </w:pPr>
            <w:r>
              <w:rPr>
                <w:rFonts w:hint="eastAsia" w:ascii="仿宋_GB2312" w:hAnsi="宋体" w:cs="宋体"/>
                <w:color w:val="000000"/>
                <w:kern w:val="0"/>
                <w:sz w:val="20"/>
              </w:rPr>
              <w:t>可持续影响指标</w:t>
            </w:r>
          </w:p>
        </w:tc>
        <w:tc>
          <w:tcPr>
            <w:tcW w:w="2503" w:type="dxa"/>
            <w:tcBorders>
              <w:tl2br w:val="nil"/>
              <w:tr2bl w:val="nil"/>
            </w:tcBorders>
            <w:vAlign w:val="center"/>
          </w:tcPr>
          <w:p w14:paraId="5F767337">
            <w:pPr>
              <w:jc w:val="center"/>
              <w:rPr>
                <w:rFonts w:hint="eastAsia" w:ascii="仿宋_GB2312" w:hAnsi="宋体" w:cs="宋体"/>
                <w:color w:val="000000"/>
                <w:kern w:val="0"/>
                <w:sz w:val="20"/>
              </w:rPr>
            </w:pPr>
            <w:r>
              <w:rPr>
                <w:rFonts w:hint="eastAsia" w:ascii="仿宋_GB2312" w:hAnsi="宋体" w:cs="宋体"/>
                <w:color w:val="000000"/>
                <w:kern w:val="0"/>
                <w:sz w:val="20"/>
              </w:rPr>
              <w:t>指标1：基层医疗服务水平</w:t>
            </w:r>
          </w:p>
        </w:tc>
        <w:tc>
          <w:tcPr>
            <w:tcW w:w="4228" w:type="dxa"/>
            <w:gridSpan w:val="2"/>
            <w:tcBorders>
              <w:tl2br w:val="nil"/>
              <w:tr2bl w:val="nil"/>
            </w:tcBorders>
            <w:vAlign w:val="center"/>
          </w:tcPr>
          <w:p w14:paraId="24932B6D">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长期正常运转</w:t>
            </w:r>
          </w:p>
        </w:tc>
      </w:tr>
      <w:tr w14:paraId="55E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54208DA">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6E2ACEEF">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1128" w:type="dxa"/>
            <w:gridSpan w:val="2"/>
            <w:vMerge w:val="restart"/>
            <w:tcBorders>
              <w:tl2br w:val="nil"/>
              <w:tr2bl w:val="nil"/>
            </w:tcBorders>
            <w:vAlign w:val="center"/>
          </w:tcPr>
          <w:p w14:paraId="4C3F6C3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2503" w:type="dxa"/>
            <w:tcBorders>
              <w:tl2br w:val="nil"/>
              <w:tr2bl w:val="nil"/>
            </w:tcBorders>
            <w:vAlign w:val="center"/>
          </w:tcPr>
          <w:p w14:paraId="36640CF2">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1：</w:t>
            </w:r>
            <w:r>
              <w:rPr>
                <w:rFonts w:hint="eastAsia" w:ascii="仿宋_GB2312" w:hAnsi="宋体" w:cs="宋体"/>
                <w:color w:val="000000"/>
                <w:kern w:val="0"/>
                <w:sz w:val="20"/>
              </w:rPr>
              <w:t>群众对医务人员工作的满意度</w:t>
            </w:r>
          </w:p>
        </w:tc>
        <w:tc>
          <w:tcPr>
            <w:tcW w:w="4228" w:type="dxa"/>
            <w:gridSpan w:val="2"/>
            <w:tcBorders>
              <w:tl2br w:val="nil"/>
              <w:tr2bl w:val="nil"/>
            </w:tcBorders>
            <w:vAlign w:val="center"/>
          </w:tcPr>
          <w:p w14:paraId="0B71535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val="en-US" w:eastAsia="zh-CN"/>
              </w:rPr>
              <w:t>≥95</w:t>
            </w:r>
          </w:p>
        </w:tc>
      </w:tr>
      <w:tr w14:paraId="0DD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7E1C6C0">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271AC5E">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DC4E1F3">
            <w:pPr>
              <w:jc w:val="center"/>
              <w:rPr>
                <w:rFonts w:hint="eastAsia" w:ascii="仿宋_GB2312" w:hAnsi="宋体" w:cs="宋体"/>
                <w:color w:val="000000"/>
                <w:kern w:val="0"/>
                <w:sz w:val="20"/>
              </w:rPr>
            </w:pPr>
          </w:p>
        </w:tc>
        <w:tc>
          <w:tcPr>
            <w:tcW w:w="2503" w:type="dxa"/>
            <w:tcBorders>
              <w:tl2br w:val="nil"/>
              <w:tr2bl w:val="nil"/>
            </w:tcBorders>
            <w:vAlign w:val="center"/>
          </w:tcPr>
          <w:p w14:paraId="583B3ADC">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患者对医疗服务水平的满意度</w:t>
            </w:r>
          </w:p>
        </w:tc>
        <w:tc>
          <w:tcPr>
            <w:tcW w:w="4228" w:type="dxa"/>
            <w:gridSpan w:val="2"/>
            <w:tcBorders>
              <w:tl2br w:val="nil"/>
              <w:tr2bl w:val="nil"/>
            </w:tcBorders>
            <w:vAlign w:val="center"/>
          </w:tcPr>
          <w:p w14:paraId="4985E697">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≥95</w:t>
            </w:r>
          </w:p>
        </w:tc>
      </w:tr>
    </w:tbl>
    <w:p w14:paraId="4510894F">
      <w:pPr>
        <w:adjustRightInd w:val="0"/>
        <w:snapToGrid w:val="0"/>
        <w:spacing w:line="580" w:lineRule="exact"/>
        <w:ind w:firstLine="643" w:firstLineChars="200"/>
        <w:rPr>
          <w:rFonts w:hint="eastAsia" w:ascii="TimesNewRoman" w:hAnsi="TimesNewRoman" w:eastAsia="仿宋_GB2312" w:cs="TimesNewRoman"/>
          <w:b/>
          <w:sz w:val="32"/>
          <w:szCs w:val="32"/>
        </w:rPr>
      </w:pP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263E51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w:t>
      </w:r>
      <w:r>
        <w:rPr>
          <w:rFonts w:hint="eastAsia" w:ascii="TimesNewRoman" w:hAnsi="TimesNewRoman" w:eastAsia="仿宋_GB2312" w:cs="TimesNewRoman"/>
          <w:kern w:val="0"/>
          <w:sz w:val="32"/>
          <w:szCs w:val="32"/>
        </w:rPr>
        <w:t>为非参照公务员法管理的事业单位，按照部门预算机关运行经费口径，</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年无机关运行经费财政拨款预算。</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烈山区宋疃镇卫生院2026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252.68</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252.68</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烈山区宋疃镇卫生院</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辆，其中：应急保障用车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烈山区宋疃镇卫生院</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32.98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，事业收入资金</w:t>
      </w:r>
      <w:r>
        <w:rPr>
          <w:rFonts w:hint="eastAsia" w:ascii="TimesNewRoman" w:hAnsi="TimesNewRoman" w:eastAsia="仿宋_GB2312" w:cs="TimesNewRoman"/>
          <w:kern w:val="0"/>
          <w:sz w:val="32"/>
          <w:szCs w:val="32"/>
          <w:lang w:val="en-US" w:eastAsia="zh-CN"/>
        </w:rPr>
        <w:t>490万元</w:t>
      </w:r>
      <w:r>
        <w:rPr>
          <w:rFonts w:hint="eastAsia" w:ascii="TimesNewRoman" w:hAnsi="TimesNewRoman" w:eastAsia="仿宋_GB2312" w:cs="TimesNewRoman"/>
          <w:kern w:val="0"/>
          <w:sz w:val="32"/>
          <w:szCs w:val="32"/>
        </w:rPr>
        <w:t>。</w:t>
      </w:r>
    </w:p>
    <w:p w14:paraId="2D1D0CF8">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0C5893E-FCBF-4EDF-BEDA-C7981371C8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08014A-7ACC-4188-B6D0-611B1CF6E85A}"/>
  </w:font>
  <w:font w:name="TimesNewRoman">
    <w:altName w:val="Segoe Print"/>
    <w:panose1 w:val="00000000000000000000"/>
    <w:charset w:val="00"/>
    <w:family w:val="auto"/>
    <w:pitch w:val="default"/>
    <w:sig w:usb0="00000000" w:usb1="00000000" w:usb2="00000029" w:usb3="00000000" w:csb0="600001FF" w:csb1="FFFF0000"/>
    <w:embedRegular r:id="rId3" w:fontKey="{AAC0D81E-F236-4767-949D-86F3F601D675}"/>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embedRegular r:id="rId4" w:fontKey="{ED9542B8-73BD-4D97-B86C-D7BA5B44346F}"/>
  </w:font>
  <w:font w:name="仿宋_GB2312">
    <w:panose1 w:val="02010609030101010101"/>
    <w:charset w:val="86"/>
    <w:family w:val="modern"/>
    <w:pitch w:val="default"/>
    <w:sig w:usb0="00000001" w:usb1="080E0000" w:usb2="00000000" w:usb3="00000000" w:csb0="00040000" w:csb1="00000000"/>
    <w:embedRegular r:id="rId5" w:fontKey="{08C75B40-AF45-47B4-8B71-8785A97D4DAF}"/>
  </w:font>
  <w:font w:name="楷体_GB2312">
    <w:panose1 w:val="02010609030101010101"/>
    <w:charset w:val="86"/>
    <w:family w:val="modern"/>
    <w:pitch w:val="default"/>
    <w:sig w:usb0="00000001" w:usb1="080E0000" w:usb2="00000000" w:usb3="00000000" w:csb0="00040000" w:csb1="00000000"/>
    <w:embedRegular r:id="rId6" w:fontKey="{9CBE5322-54FC-454A-9B36-0C8C2A0F6ED7}"/>
  </w:font>
  <w:font w:name="仿宋">
    <w:panose1 w:val="02010609060101010101"/>
    <w:charset w:val="86"/>
    <w:family w:val="auto"/>
    <w:pitch w:val="default"/>
    <w:sig w:usb0="800002BF" w:usb1="38CF7CFA" w:usb2="00000016" w:usb3="00000000" w:csb0="00040001" w:csb1="00000000"/>
    <w:embedRegular r:id="rId7" w:fontKey="{469B8B57-273D-4B40-888C-0BEDDAB8B910}"/>
  </w:font>
  <w:font w:name="方正仿宋_GB18030">
    <w:panose1 w:val="02000000000000000000"/>
    <w:charset w:val="86"/>
    <w:family w:val="auto"/>
    <w:pitch w:val="default"/>
    <w:sig w:usb0="00000001" w:usb1="08000000" w:usb2="00000000" w:usb3="00000000" w:csb0="00040000" w:csb1="00000000"/>
    <w:embedRegular r:id="rId8" w:fontKey="{8834D57D-D975-4977-B340-1EEB45F1F2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6FC5F"/>
    <w:multiLevelType w:val="singleLevel"/>
    <w:tmpl w:val="CB16FC5F"/>
    <w:lvl w:ilvl="0" w:tentative="0">
      <w:start w:val="12"/>
      <w:numFmt w:val="chineseCounting"/>
      <w:suff w:val="nothing"/>
      <w:lvlText w:val="%1、"/>
      <w:lvlJc w:val="left"/>
      <w:rPr>
        <w:rFonts w:hint="eastAsia"/>
      </w:rPr>
    </w:lvl>
  </w:abstractNum>
  <w:abstractNum w:abstractNumId="1">
    <w:nsid w:val="516B0545"/>
    <w:multiLevelType w:val="singleLevel"/>
    <w:tmpl w:val="516B054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5D4603"/>
    <w:rsid w:val="006546AF"/>
    <w:rsid w:val="00726D96"/>
    <w:rsid w:val="008F6D1A"/>
    <w:rsid w:val="009A3CA3"/>
    <w:rsid w:val="00AE3242"/>
    <w:rsid w:val="00BD640A"/>
    <w:rsid w:val="00CD5619"/>
    <w:rsid w:val="00D06DD6"/>
    <w:rsid w:val="00DB2A5C"/>
    <w:rsid w:val="00E907C4"/>
    <w:rsid w:val="00EC7755"/>
    <w:rsid w:val="00F974AD"/>
    <w:rsid w:val="012F3ECF"/>
    <w:rsid w:val="01471E23"/>
    <w:rsid w:val="01A26771"/>
    <w:rsid w:val="022D017E"/>
    <w:rsid w:val="027C3466"/>
    <w:rsid w:val="034F46D6"/>
    <w:rsid w:val="037B7F18"/>
    <w:rsid w:val="04673CA2"/>
    <w:rsid w:val="053022E6"/>
    <w:rsid w:val="055E50A5"/>
    <w:rsid w:val="05697348"/>
    <w:rsid w:val="05C8568A"/>
    <w:rsid w:val="05CB200E"/>
    <w:rsid w:val="06AE5BB8"/>
    <w:rsid w:val="06D7278A"/>
    <w:rsid w:val="06E17D3B"/>
    <w:rsid w:val="077A3CEC"/>
    <w:rsid w:val="08850E5C"/>
    <w:rsid w:val="088564A0"/>
    <w:rsid w:val="088E3EF3"/>
    <w:rsid w:val="08BA6A96"/>
    <w:rsid w:val="08C23B9D"/>
    <w:rsid w:val="0AFA147A"/>
    <w:rsid w:val="0B2662C4"/>
    <w:rsid w:val="0BBC48D3"/>
    <w:rsid w:val="0BD648CC"/>
    <w:rsid w:val="0D336E17"/>
    <w:rsid w:val="0DB04B7F"/>
    <w:rsid w:val="0DF11C16"/>
    <w:rsid w:val="0ED07BA1"/>
    <w:rsid w:val="0EFF18E3"/>
    <w:rsid w:val="0F582B65"/>
    <w:rsid w:val="10150A56"/>
    <w:rsid w:val="101822F4"/>
    <w:rsid w:val="105772C0"/>
    <w:rsid w:val="11561326"/>
    <w:rsid w:val="12530A8A"/>
    <w:rsid w:val="139879D4"/>
    <w:rsid w:val="14E07884"/>
    <w:rsid w:val="15C72C7C"/>
    <w:rsid w:val="16832BBD"/>
    <w:rsid w:val="16EB42BE"/>
    <w:rsid w:val="17215F32"/>
    <w:rsid w:val="178169D1"/>
    <w:rsid w:val="18716A45"/>
    <w:rsid w:val="19197809"/>
    <w:rsid w:val="192A37C4"/>
    <w:rsid w:val="1A2312B8"/>
    <w:rsid w:val="1A345F7C"/>
    <w:rsid w:val="1A385A6D"/>
    <w:rsid w:val="1A9C249F"/>
    <w:rsid w:val="1AAC1FB7"/>
    <w:rsid w:val="1AAC38DB"/>
    <w:rsid w:val="1B7F1479"/>
    <w:rsid w:val="1C56155A"/>
    <w:rsid w:val="1C5F19D6"/>
    <w:rsid w:val="1CE617B0"/>
    <w:rsid w:val="1DE63A32"/>
    <w:rsid w:val="1E036392"/>
    <w:rsid w:val="20014B53"/>
    <w:rsid w:val="20CC6F0F"/>
    <w:rsid w:val="21BA320B"/>
    <w:rsid w:val="226A69DF"/>
    <w:rsid w:val="22835CF3"/>
    <w:rsid w:val="22AD1524"/>
    <w:rsid w:val="232D07A8"/>
    <w:rsid w:val="23503E27"/>
    <w:rsid w:val="23706277"/>
    <w:rsid w:val="239F4DAE"/>
    <w:rsid w:val="23BC770E"/>
    <w:rsid w:val="23F5677C"/>
    <w:rsid w:val="253A4D8F"/>
    <w:rsid w:val="25B83F05"/>
    <w:rsid w:val="25CC1E99"/>
    <w:rsid w:val="264D0AF2"/>
    <w:rsid w:val="26F62F37"/>
    <w:rsid w:val="275E288B"/>
    <w:rsid w:val="28074CD0"/>
    <w:rsid w:val="28A569C3"/>
    <w:rsid w:val="292F2BC0"/>
    <w:rsid w:val="2939710B"/>
    <w:rsid w:val="2AF8368D"/>
    <w:rsid w:val="2B6F5066"/>
    <w:rsid w:val="2BC173D4"/>
    <w:rsid w:val="2C2E6CCF"/>
    <w:rsid w:val="2C56241F"/>
    <w:rsid w:val="2CAC2F9C"/>
    <w:rsid w:val="2D2F0F51"/>
    <w:rsid w:val="2D7B23E8"/>
    <w:rsid w:val="2DF47AA5"/>
    <w:rsid w:val="2DF8044C"/>
    <w:rsid w:val="2EEC4152"/>
    <w:rsid w:val="2FF67B04"/>
    <w:rsid w:val="303B7C0D"/>
    <w:rsid w:val="308C2216"/>
    <w:rsid w:val="31093867"/>
    <w:rsid w:val="31CE554C"/>
    <w:rsid w:val="3284589B"/>
    <w:rsid w:val="32987720"/>
    <w:rsid w:val="32C07C16"/>
    <w:rsid w:val="33A1247D"/>
    <w:rsid w:val="34E754D7"/>
    <w:rsid w:val="355D5FF2"/>
    <w:rsid w:val="35971FF1"/>
    <w:rsid w:val="35A95619"/>
    <w:rsid w:val="36173642"/>
    <w:rsid w:val="36E032BC"/>
    <w:rsid w:val="39227BBC"/>
    <w:rsid w:val="39F03816"/>
    <w:rsid w:val="3A2D7D31"/>
    <w:rsid w:val="3A5A5133"/>
    <w:rsid w:val="3AD273C0"/>
    <w:rsid w:val="3B005CDB"/>
    <w:rsid w:val="3BCD3D28"/>
    <w:rsid w:val="3C3E4D0D"/>
    <w:rsid w:val="3C6A5B02"/>
    <w:rsid w:val="3CA628B2"/>
    <w:rsid w:val="3CBC1403"/>
    <w:rsid w:val="3DBA6A6E"/>
    <w:rsid w:val="3E8B0E28"/>
    <w:rsid w:val="3EFE6FA3"/>
    <w:rsid w:val="3FDD4C6A"/>
    <w:rsid w:val="408E2538"/>
    <w:rsid w:val="40E02836"/>
    <w:rsid w:val="424B3CDF"/>
    <w:rsid w:val="43C07593"/>
    <w:rsid w:val="43F04528"/>
    <w:rsid w:val="43FE4D82"/>
    <w:rsid w:val="442567B2"/>
    <w:rsid w:val="446C618F"/>
    <w:rsid w:val="452627E2"/>
    <w:rsid w:val="46003033"/>
    <w:rsid w:val="472745EF"/>
    <w:rsid w:val="47D44777"/>
    <w:rsid w:val="486A0C38"/>
    <w:rsid w:val="49535B70"/>
    <w:rsid w:val="49BE748D"/>
    <w:rsid w:val="4A084FAB"/>
    <w:rsid w:val="4B115DA6"/>
    <w:rsid w:val="4BE3142D"/>
    <w:rsid w:val="4CBA5FC9"/>
    <w:rsid w:val="4CD77A68"/>
    <w:rsid w:val="4DC40DEA"/>
    <w:rsid w:val="4E395334"/>
    <w:rsid w:val="4E84407F"/>
    <w:rsid w:val="4EBA5643"/>
    <w:rsid w:val="4F8534D4"/>
    <w:rsid w:val="4FB94289"/>
    <w:rsid w:val="501871CB"/>
    <w:rsid w:val="505F63E3"/>
    <w:rsid w:val="51962A9D"/>
    <w:rsid w:val="51D22D02"/>
    <w:rsid w:val="536B7F8C"/>
    <w:rsid w:val="53FB37B2"/>
    <w:rsid w:val="54302D35"/>
    <w:rsid w:val="54417C4B"/>
    <w:rsid w:val="5531145B"/>
    <w:rsid w:val="56617B1E"/>
    <w:rsid w:val="571A1A7B"/>
    <w:rsid w:val="57E919C7"/>
    <w:rsid w:val="58BA52C3"/>
    <w:rsid w:val="59126EAD"/>
    <w:rsid w:val="591F781C"/>
    <w:rsid w:val="598558D1"/>
    <w:rsid w:val="59B166C6"/>
    <w:rsid w:val="5A9102A6"/>
    <w:rsid w:val="5AB94067"/>
    <w:rsid w:val="5B155F9D"/>
    <w:rsid w:val="5BE74621"/>
    <w:rsid w:val="5C422212"/>
    <w:rsid w:val="5C434F03"/>
    <w:rsid w:val="5D9F0F2C"/>
    <w:rsid w:val="5DA36667"/>
    <w:rsid w:val="5DCB1D21"/>
    <w:rsid w:val="5DF66D9E"/>
    <w:rsid w:val="5E53117C"/>
    <w:rsid w:val="5EFB147C"/>
    <w:rsid w:val="5FAB005C"/>
    <w:rsid w:val="5FBF7663"/>
    <w:rsid w:val="60194FC5"/>
    <w:rsid w:val="60991BCC"/>
    <w:rsid w:val="623C4F9B"/>
    <w:rsid w:val="62CD2097"/>
    <w:rsid w:val="63163A3E"/>
    <w:rsid w:val="63387DCB"/>
    <w:rsid w:val="633A772C"/>
    <w:rsid w:val="64900A85"/>
    <w:rsid w:val="65494F78"/>
    <w:rsid w:val="656960A7"/>
    <w:rsid w:val="65DC6F59"/>
    <w:rsid w:val="664240C0"/>
    <w:rsid w:val="66B16911"/>
    <w:rsid w:val="67DD7FA5"/>
    <w:rsid w:val="6874548F"/>
    <w:rsid w:val="688F051A"/>
    <w:rsid w:val="6A5F4DAD"/>
    <w:rsid w:val="6ADC731B"/>
    <w:rsid w:val="6AF26B3F"/>
    <w:rsid w:val="6BF10177"/>
    <w:rsid w:val="6C0905E4"/>
    <w:rsid w:val="6D594C53"/>
    <w:rsid w:val="6DB225B5"/>
    <w:rsid w:val="6DDA2238"/>
    <w:rsid w:val="6ED24FA9"/>
    <w:rsid w:val="6F094735"/>
    <w:rsid w:val="6F2614AD"/>
    <w:rsid w:val="6F3941EE"/>
    <w:rsid w:val="700C2451"/>
    <w:rsid w:val="7040659E"/>
    <w:rsid w:val="70950698"/>
    <w:rsid w:val="71265794"/>
    <w:rsid w:val="714E25D9"/>
    <w:rsid w:val="718F3339"/>
    <w:rsid w:val="721921CE"/>
    <w:rsid w:val="725D6F93"/>
    <w:rsid w:val="7265409A"/>
    <w:rsid w:val="72B666A4"/>
    <w:rsid w:val="72EE3AA0"/>
    <w:rsid w:val="736B1B84"/>
    <w:rsid w:val="73951E16"/>
    <w:rsid w:val="74B4507D"/>
    <w:rsid w:val="74CF1255"/>
    <w:rsid w:val="74D3353D"/>
    <w:rsid w:val="75635629"/>
    <w:rsid w:val="762A7AD4"/>
    <w:rsid w:val="763F46EA"/>
    <w:rsid w:val="76DC4CCE"/>
    <w:rsid w:val="77550B81"/>
    <w:rsid w:val="77CF26E1"/>
    <w:rsid w:val="79951709"/>
    <w:rsid w:val="79B46C87"/>
    <w:rsid w:val="79F015DC"/>
    <w:rsid w:val="7A546ECE"/>
    <w:rsid w:val="7BCC6F38"/>
    <w:rsid w:val="7C561BE3"/>
    <w:rsid w:val="7C940A8C"/>
    <w:rsid w:val="7CD11C76"/>
    <w:rsid w:val="7D985324"/>
    <w:rsid w:val="7DC51E91"/>
    <w:rsid w:val="7E7E276B"/>
    <w:rsid w:val="7E93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rPr>
      <w:kern w:val="0"/>
      <w:sz w:val="20"/>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qFormat/>
    <w:uiPriority w:val="0"/>
    <w:pPr>
      <w:ind w:firstLine="420" w:firstLineChars="200"/>
    </w:p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b836ffae-8c84-47b1-9c90-b69471b2cea4</errorID>
      <errorWord>3 、2026</errorWord>
      <group>L1_AI</group>
      <groupName>深度校对</groupName>
      <ability>L2_AI_Title</ability>
      <abilityName>标题检查</abilityName>
      <candidateList>
        <item>3. 2026</item>
      </candidateList>
      <explain>标题顺序错误，请检查标题顺序是否合理。</explain>
      <paraID>2AB5B4E2</paraID>
      <start>0</start>
      <end>7</end>
      <status>modified</status>
      <modifiedWord>3. 2026</modifiedWord>
      <trackRevisions>false</trackRevisions>
    </reviewItem>
    <reviewItem>
      <errorID>38376dfb-14ad-44cb-a42b-9a3ec60d0566</errorID>
      <errorWord>:</errorWord>
      <group>L1_Format</group>
      <groupName>格式问题</groupName>
      <ability>L2_HalfPunc</ability>
      <abilityName>全半角检查</abilityName>
      <candidateList>
        <item>：</item>
      </candidateList>
      <explain>文本全半角错误。</explain>
      <paraID> F0261B3</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dd3e6fb-02d3-49cc-b29a-0330e46e9f2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7836</Words>
  <Characters>8726</Characters>
  <Lines>46</Lines>
  <Paragraphs>13</Paragraphs>
  <TotalTime>13</TotalTime>
  <ScaleCrop>false</ScaleCrop>
  <LinksUpToDate>false</LinksUpToDate>
  <CharactersWithSpaces>8932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2026-02-27T06:49:08Z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7CB96595CB954E7A990D98AC250F7195_13</vt:lpwstr>
  </property>
</Properties>
</file>