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62B02">
      <w:pPr>
        <w:widowControl w:val="0"/>
        <w:spacing w:line="590" w:lineRule="exact"/>
        <w:jc w:val="center"/>
        <w:rPr>
          <w:rFonts w:ascii="方正小标宋简体" w:eastAsia="方正小标宋简体"/>
          <w:color w:val="000000"/>
          <w:sz w:val="44"/>
          <w:szCs w:val="44"/>
        </w:rPr>
      </w:pPr>
    </w:p>
    <w:p w14:paraId="0F4CE21E">
      <w:pPr>
        <w:widowControl w:val="0"/>
        <w:spacing w:line="590" w:lineRule="exact"/>
        <w:jc w:val="center"/>
        <w:rPr>
          <w:rFonts w:ascii="方正小标宋简体" w:eastAsia="方正小标宋简体"/>
          <w:color w:val="000000"/>
          <w:sz w:val="44"/>
          <w:szCs w:val="44"/>
        </w:rPr>
      </w:pPr>
    </w:p>
    <w:p w14:paraId="138B4C14">
      <w:pPr>
        <w:widowControl w:val="0"/>
        <w:spacing w:line="590" w:lineRule="exact"/>
        <w:jc w:val="center"/>
        <w:rPr>
          <w:rFonts w:ascii="方正小标宋简体" w:eastAsia="方正小标宋简体"/>
          <w:color w:val="000000"/>
          <w:sz w:val="44"/>
          <w:szCs w:val="44"/>
        </w:rPr>
      </w:pPr>
    </w:p>
    <w:p w14:paraId="61F25110">
      <w:pPr>
        <w:widowControl w:val="0"/>
        <w:spacing w:line="590" w:lineRule="exact"/>
        <w:jc w:val="center"/>
        <w:rPr>
          <w:rFonts w:ascii="方正小标宋简体" w:eastAsia="方正小标宋简体"/>
          <w:color w:val="000000"/>
          <w:sz w:val="44"/>
          <w:szCs w:val="44"/>
        </w:rPr>
      </w:pPr>
    </w:p>
    <w:p w14:paraId="281CBC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bookmarkStart w:id="81" w:name="_GoBack"/>
      <w:r>
        <w:rPr>
          <w:rFonts w:hint="eastAsia" w:ascii="方正小标宋简体" w:hAnsi="宋体" w:eastAsia="方正小标宋简体" w:cs="宋体"/>
          <w:sz w:val="44"/>
          <w:szCs w:val="44"/>
        </w:rPr>
        <w:t>烈山区</w:t>
      </w:r>
      <w:r>
        <w:rPr>
          <w:rFonts w:hint="eastAsia" w:ascii="方正小标宋简体" w:eastAsia="方正小标宋简体"/>
          <w:sz w:val="44"/>
          <w:szCs w:val="44"/>
        </w:rPr>
        <w:t>低温雨雪冰冻灾害应急预案</w:t>
      </w:r>
    </w:p>
    <w:bookmarkEnd w:id="81"/>
    <w:p w14:paraId="0E7CD23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w:t>
      </w:r>
      <w:r>
        <w:rPr>
          <w:rFonts w:hint="eastAsia" w:ascii="方正小标宋简体" w:hAnsi="方正小标宋简体" w:eastAsia="方正小标宋简体" w:cs="方正小标宋简体"/>
          <w:b w:val="0"/>
          <w:bCs w:val="0"/>
          <w:color w:val="000000"/>
          <w:sz w:val="44"/>
          <w:szCs w:val="44"/>
          <w:lang w:eastAsia="zh-CN"/>
        </w:rPr>
        <w:t>征求意见稿</w:t>
      </w:r>
      <w:r>
        <w:rPr>
          <w:rFonts w:hint="eastAsia" w:ascii="方正小标宋简体" w:hAnsi="方正小标宋简体" w:eastAsia="方正小标宋简体" w:cs="方正小标宋简体"/>
          <w:b w:val="0"/>
          <w:bCs w:val="0"/>
          <w:color w:val="000000"/>
          <w:sz w:val="44"/>
          <w:szCs w:val="44"/>
        </w:rPr>
        <w:t>）</w:t>
      </w:r>
    </w:p>
    <w:p w14:paraId="54FC6D05">
      <w:pPr>
        <w:pStyle w:val="5"/>
      </w:pPr>
    </w:p>
    <w:p w14:paraId="4244EB99">
      <w:pPr>
        <w:widowControl w:val="0"/>
        <w:spacing w:line="590" w:lineRule="exact"/>
        <w:jc w:val="center"/>
        <w:rPr>
          <w:rFonts w:ascii="方正黑体简体" w:eastAsia="方正黑体简体"/>
          <w:color w:val="000000"/>
          <w:sz w:val="32"/>
          <w:szCs w:val="32"/>
        </w:rPr>
      </w:pPr>
    </w:p>
    <w:p w14:paraId="6B7DE57E">
      <w:pPr>
        <w:widowControl w:val="0"/>
        <w:spacing w:line="590" w:lineRule="exact"/>
        <w:jc w:val="center"/>
        <w:rPr>
          <w:rFonts w:ascii="方正黑体简体" w:eastAsia="方正黑体简体"/>
          <w:color w:val="000000"/>
          <w:sz w:val="32"/>
          <w:szCs w:val="32"/>
        </w:rPr>
      </w:pPr>
    </w:p>
    <w:p w14:paraId="37112950">
      <w:pPr>
        <w:widowControl w:val="0"/>
        <w:spacing w:line="590" w:lineRule="exact"/>
        <w:jc w:val="center"/>
        <w:rPr>
          <w:rFonts w:ascii="方正黑体简体" w:eastAsia="方正黑体简体"/>
          <w:color w:val="000000"/>
          <w:sz w:val="32"/>
          <w:szCs w:val="32"/>
        </w:rPr>
      </w:pPr>
    </w:p>
    <w:p w14:paraId="690F1E54">
      <w:pPr>
        <w:widowControl w:val="0"/>
        <w:spacing w:line="590" w:lineRule="exact"/>
        <w:jc w:val="center"/>
        <w:rPr>
          <w:rFonts w:ascii="方正黑体简体" w:eastAsia="方正黑体简体"/>
          <w:color w:val="000000"/>
          <w:sz w:val="32"/>
          <w:szCs w:val="32"/>
        </w:rPr>
      </w:pPr>
    </w:p>
    <w:p w14:paraId="040B5CE1">
      <w:pPr>
        <w:widowControl w:val="0"/>
        <w:spacing w:line="590" w:lineRule="exact"/>
        <w:jc w:val="center"/>
        <w:rPr>
          <w:rFonts w:ascii="方正黑体简体" w:eastAsia="方正黑体简体"/>
          <w:color w:val="000000"/>
          <w:sz w:val="32"/>
          <w:szCs w:val="32"/>
        </w:rPr>
      </w:pPr>
    </w:p>
    <w:p w14:paraId="42F6C77B">
      <w:pPr>
        <w:widowControl w:val="0"/>
        <w:spacing w:line="590" w:lineRule="exact"/>
        <w:jc w:val="center"/>
        <w:rPr>
          <w:rFonts w:ascii="方正黑体简体" w:eastAsia="方正黑体简体"/>
          <w:color w:val="000000"/>
          <w:sz w:val="32"/>
          <w:szCs w:val="32"/>
        </w:rPr>
      </w:pPr>
    </w:p>
    <w:p w14:paraId="104F85D0">
      <w:pPr>
        <w:widowControl w:val="0"/>
        <w:spacing w:line="590" w:lineRule="exact"/>
        <w:jc w:val="center"/>
        <w:rPr>
          <w:rFonts w:ascii="方正黑体简体" w:eastAsia="方正黑体简体"/>
          <w:color w:val="000000"/>
          <w:sz w:val="32"/>
          <w:szCs w:val="32"/>
        </w:rPr>
      </w:pPr>
    </w:p>
    <w:p w14:paraId="55CD4504">
      <w:pPr>
        <w:widowControl w:val="0"/>
        <w:spacing w:line="590" w:lineRule="exact"/>
        <w:jc w:val="center"/>
        <w:rPr>
          <w:rFonts w:ascii="方正黑体简体" w:eastAsia="方正黑体简体"/>
          <w:color w:val="000000"/>
          <w:sz w:val="32"/>
          <w:szCs w:val="32"/>
        </w:rPr>
      </w:pPr>
    </w:p>
    <w:p w14:paraId="3EDD9D18">
      <w:pPr>
        <w:widowControl w:val="0"/>
        <w:spacing w:line="590" w:lineRule="exact"/>
        <w:jc w:val="center"/>
        <w:rPr>
          <w:rFonts w:ascii="方正黑体简体" w:eastAsia="方正黑体简体"/>
          <w:color w:val="000000"/>
          <w:sz w:val="32"/>
          <w:szCs w:val="32"/>
        </w:rPr>
      </w:pPr>
    </w:p>
    <w:p w14:paraId="56E0781C">
      <w:pPr>
        <w:pStyle w:val="14"/>
        <w:ind w:left="400"/>
      </w:pPr>
    </w:p>
    <w:p w14:paraId="7C6CB491">
      <w:pPr>
        <w:widowControl w:val="0"/>
        <w:spacing w:line="590" w:lineRule="exact"/>
        <w:jc w:val="center"/>
        <w:rPr>
          <w:rFonts w:ascii="方正黑体简体" w:eastAsia="方正黑体简体"/>
          <w:color w:val="000000"/>
          <w:sz w:val="32"/>
          <w:szCs w:val="32"/>
        </w:rPr>
      </w:pPr>
    </w:p>
    <w:p w14:paraId="71581C2E">
      <w:pPr>
        <w:widowControl w:val="0"/>
        <w:spacing w:line="590" w:lineRule="exact"/>
        <w:jc w:val="center"/>
        <w:rPr>
          <w:rFonts w:ascii="方正黑体简体" w:eastAsia="方正黑体简体"/>
          <w:color w:val="000000"/>
          <w:sz w:val="32"/>
          <w:szCs w:val="32"/>
        </w:rPr>
      </w:pPr>
    </w:p>
    <w:p w14:paraId="5C3DF424">
      <w:pPr>
        <w:widowControl w:val="0"/>
        <w:spacing w:line="590" w:lineRule="exact"/>
        <w:jc w:val="center"/>
        <w:rPr>
          <w:rFonts w:ascii="方正黑体简体" w:eastAsia="方正黑体简体"/>
          <w:color w:val="000000"/>
          <w:sz w:val="32"/>
          <w:szCs w:val="32"/>
        </w:rPr>
      </w:pPr>
    </w:p>
    <w:p w14:paraId="4FCBE4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烈山区应急管理局</w:t>
      </w:r>
    </w:p>
    <w:p w14:paraId="5C06A0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202</w:t>
      </w:r>
      <w:r>
        <w:rPr>
          <w:rFonts w:hint="eastAsia" w:ascii="方正小标宋简体" w:hAnsi="方正小标宋简体" w:eastAsia="方正小标宋简体" w:cs="方正小标宋简体"/>
          <w:color w:val="000000"/>
          <w:sz w:val="32"/>
          <w:szCs w:val="32"/>
          <w:lang w:val="en-US" w:eastAsia="zh-CN"/>
        </w:rPr>
        <w:t>6</w:t>
      </w:r>
      <w:r>
        <w:rPr>
          <w:rFonts w:hint="eastAsia" w:ascii="方正小标宋简体" w:hAnsi="方正小标宋简体" w:eastAsia="方正小标宋简体" w:cs="方正小标宋简体"/>
          <w:color w:val="000000"/>
          <w:sz w:val="32"/>
          <w:szCs w:val="32"/>
        </w:rPr>
        <w:t>年</w:t>
      </w:r>
      <w:r>
        <w:rPr>
          <w:rFonts w:hint="eastAsia" w:ascii="方正小标宋简体" w:hAnsi="方正小标宋简体" w:eastAsia="方正小标宋简体" w:cs="方正小标宋简体"/>
          <w:color w:val="000000"/>
          <w:sz w:val="32"/>
          <w:szCs w:val="32"/>
          <w:lang w:val="en-US" w:eastAsia="zh-CN"/>
        </w:rPr>
        <w:t>1</w:t>
      </w:r>
      <w:r>
        <w:rPr>
          <w:rFonts w:hint="eastAsia" w:ascii="方正小标宋简体" w:hAnsi="方正小标宋简体" w:eastAsia="方正小标宋简体" w:cs="方正小标宋简体"/>
          <w:color w:val="000000"/>
          <w:sz w:val="32"/>
          <w:szCs w:val="32"/>
        </w:rPr>
        <w:t>月</w:t>
      </w:r>
    </w:p>
    <w:p w14:paraId="05467C34">
      <w:pPr>
        <w:rPr>
          <w:rFonts w:ascii="宋体" w:hAnsi="宋体" w:eastAsia="宋体"/>
          <w:color w:val="000000"/>
          <w:sz w:val="32"/>
          <w:szCs w:val="32"/>
        </w:rPr>
      </w:pPr>
      <w:r>
        <w:rPr>
          <w:rFonts w:ascii="宋体" w:hAnsi="宋体" w:eastAsia="宋体"/>
          <w:color w:val="000000"/>
          <w:sz w:val="32"/>
          <w:szCs w:val="32"/>
        </w:rPr>
        <w:br w:type="page"/>
      </w:r>
    </w:p>
    <w:sdt>
      <w:sdtPr>
        <w:rPr>
          <w:rFonts w:ascii="宋体" w:hAnsi="宋体" w:eastAsia="宋体" w:cs="Arial"/>
          <w:sz w:val="24"/>
          <w:szCs w:val="22"/>
          <w:lang w:val="en-US" w:eastAsia="zh-CN" w:bidi="ar-SA"/>
        </w:rPr>
        <w:id w:val="147465333"/>
        <w15:color w:val="DBDBDB"/>
        <w:docPartObj>
          <w:docPartGallery w:val="Table of Contents"/>
          <w:docPartUnique/>
        </w:docPartObj>
      </w:sdtPr>
      <w:sdtEndPr>
        <w:rPr>
          <w:rFonts w:hint="eastAsia" w:ascii="仿宋_GB2312" w:hAnsi="仿宋_GB2312" w:eastAsia="仿宋_GB2312" w:cs="仿宋_GB2312"/>
          <w:color w:val="000000"/>
          <w:sz w:val="21"/>
          <w:szCs w:val="28"/>
          <w:lang w:val="en-US" w:eastAsia="zh-CN" w:bidi="ar-SA"/>
        </w:rPr>
      </w:sdtEndPr>
      <w:sdtContent>
        <w:p w14:paraId="3D70ACBD">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目录</w:t>
          </w:r>
        </w:p>
        <w:p w14:paraId="3DE822A3">
          <w:pPr>
            <w:pStyle w:val="11"/>
            <w:tabs>
              <w:tab w:val="right" w:leader="dot" w:pos="9025"/>
              <w:tab w:val="clear" w:pos="901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TOC \o "1-2" \h \u </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_Toc11743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_Toc11743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01DD93FA">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_Toc8807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val="en-US" w:eastAsia="zh-CN"/>
            </w:rPr>
            <w:t>总体要求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_Toc8807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70438B83">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_Toc21256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1.2编制依据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_Toc21256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3EDD6D5B">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_Toc937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1.3适用范围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3B219FA4">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_Toc8875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1.4工作原则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_Toc8875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3426B750">
          <w:pPr>
            <w:pStyle w:val="11"/>
            <w:tabs>
              <w:tab w:val="right" w:leader="dot" w:pos="9025"/>
              <w:tab w:val="clear" w:pos="901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_Toc2467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2组织指挥</w:t>
          </w:r>
          <w:r>
            <w:rPr>
              <w:rFonts w:hint="eastAsia" w:ascii="仿宋_GB2312" w:hAnsi="仿宋_GB2312" w:eastAsia="仿宋_GB2312" w:cs="仿宋_GB2312"/>
              <w:sz w:val="28"/>
              <w:szCs w:val="28"/>
              <w:lang w:val="en-US" w:eastAsia="zh-CN"/>
            </w:rPr>
            <w:t>体系</w:t>
          </w:r>
          <w:r>
            <w:rPr>
              <w:rFonts w:hint="eastAsia" w:ascii="仿宋_GB2312" w:hAnsi="仿宋_GB2312" w:eastAsia="仿宋_GB2312" w:cs="仿宋_GB2312"/>
              <w:sz w:val="28"/>
              <w:szCs w:val="28"/>
            </w:rPr>
            <w:t>及职责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60A6EB3B">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_Toc17584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lang w:val="en-US" w:eastAsia="zh-CN"/>
            </w:rPr>
            <w:t>指挥机构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_Toc17584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5A4B1D56">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_Toc20441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成员单位职责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_Toc20441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692712A4">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_Toc5343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2.3区级以下指挥机构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_Toc5343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593B20B4">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_Toc32765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2.4工作</w:t>
          </w:r>
          <w:r>
            <w:rPr>
              <w:rFonts w:hint="eastAsia" w:ascii="仿宋_GB2312" w:hAnsi="仿宋_GB2312" w:eastAsia="仿宋_GB2312" w:cs="仿宋_GB2312"/>
              <w:sz w:val="28"/>
              <w:szCs w:val="28"/>
              <w:lang w:val="en-US" w:eastAsia="zh-CN"/>
            </w:rPr>
            <w:t>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_Toc32765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7C7AEF4D">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_Toc1793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2.5专家组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5B604558">
          <w:pPr>
            <w:pStyle w:val="11"/>
            <w:tabs>
              <w:tab w:val="right" w:leader="dot" w:pos="9025"/>
              <w:tab w:val="clear" w:pos="901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_Toc29708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预防与监测预警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_Toc29708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3AC2779B">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_Toc21777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lang w:val="en-US" w:eastAsia="zh-CN"/>
            </w:rPr>
            <w:t>预防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_Toc21777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154604FF">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_Toc28228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3.2监测预报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_Toc28228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148D5C62">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_Toc4059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预警发布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3C850FAA">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_Toc15794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预警级别</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_Toc15794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5821ABE8">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_Toc11716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预警响应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_Toc11716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5402E844">
          <w:pPr>
            <w:pStyle w:val="11"/>
            <w:tabs>
              <w:tab w:val="right" w:leader="dot" w:pos="9025"/>
              <w:tab w:val="clear" w:pos="901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_Toc7290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应急响应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_Toc7290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2120400A">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_Toc20616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.1I级响应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_Toc20616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63E10784">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_Toc15614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.2II级响应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_Toc15614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10BEE940">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_Toc561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.3III级响应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4AD8D96B">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_Toc25992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.4IV级响应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_Toc25992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7D153AC4">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_Toc27294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4.5工作组构成及职责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_Toc27294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670DD12A">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_Toc13881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启动条件调整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_Toc13881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591C1143">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_Toc19015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4.7后期处置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_Toc19015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51ED9A4B">
          <w:pPr>
            <w:pStyle w:val="11"/>
            <w:tabs>
              <w:tab w:val="right" w:leader="dot" w:pos="9025"/>
              <w:tab w:val="clear" w:pos="901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_Toc21297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应急保障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_Toc21297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78EDF717">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_Toc11302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应急队伍</w:t>
          </w:r>
          <w:r>
            <w:rPr>
              <w:rFonts w:hint="eastAsia" w:ascii="仿宋_GB2312" w:hAnsi="仿宋_GB2312" w:eastAsia="仿宋_GB2312" w:cs="仿宋_GB2312"/>
              <w:sz w:val="28"/>
              <w:szCs w:val="28"/>
            </w:rPr>
            <w:t>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_Toc11302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6E3235DA">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_Toc15707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资金</w:t>
          </w:r>
          <w:r>
            <w:rPr>
              <w:rFonts w:hint="eastAsia" w:ascii="仿宋_GB2312" w:hAnsi="仿宋_GB2312" w:eastAsia="仿宋_GB2312" w:cs="仿宋_GB2312"/>
              <w:sz w:val="28"/>
              <w:szCs w:val="28"/>
            </w:rPr>
            <w:t>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_Toc15707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382921A7">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_Toc4080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.3物资</w:t>
          </w:r>
          <w:r>
            <w:rPr>
              <w:rFonts w:hint="eastAsia" w:ascii="仿宋_GB2312" w:hAnsi="仿宋_GB2312" w:eastAsia="仿宋_GB2312" w:cs="仿宋_GB2312"/>
              <w:sz w:val="28"/>
              <w:szCs w:val="28"/>
              <w:lang w:val="en-US" w:eastAsia="zh-CN"/>
            </w:rPr>
            <w:t>装备</w:t>
          </w:r>
          <w:r>
            <w:rPr>
              <w:rFonts w:hint="eastAsia" w:ascii="仿宋_GB2312" w:hAnsi="仿宋_GB2312" w:eastAsia="仿宋_GB2312" w:cs="仿宋_GB2312"/>
              <w:sz w:val="28"/>
              <w:szCs w:val="28"/>
            </w:rPr>
            <w:t>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_Toc4080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1FAEF18F">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_Toc13893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.4通信</w:t>
          </w:r>
          <w:r>
            <w:rPr>
              <w:rFonts w:hint="eastAsia" w:ascii="仿宋_GB2312" w:hAnsi="仿宋_GB2312" w:eastAsia="仿宋_GB2312" w:cs="仿宋_GB2312"/>
              <w:sz w:val="28"/>
              <w:szCs w:val="28"/>
              <w:lang w:val="en-US" w:eastAsia="zh-CN"/>
            </w:rPr>
            <w:t>交通</w:t>
          </w:r>
          <w:r>
            <w:rPr>
              <w:rFonts w:hint="eastAsia" w:ascii="仿宋_GB2312" w:hAnsi="仿宋_GB2312" w:eastAsia="仿宋_GB2312" w:cs="仿宋_GB2312"/>
              <w:sz w:val="28"/>
              <w:szCs w:val="28"/>
            </w:rPr>
            <w:t>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3649F859">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_Toc5885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5.5 宣传、培训和演练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_Toc5885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62275C87">
          <w:pPr>
            <w:pStyle w:val="11"/>
            <w:tabs>
              <w:tab w:val="right" w:leader="dot" w:pos="9025"/>
              <w:tab w:val="clear" w:pos="901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_Toc12252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附则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_Toc12252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17C7330A">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_Toc20886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.1预案管理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_Toc20886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5A2AB8F8">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_Toc3863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6.2监督检查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_Toc3863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3C947289">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_Toc30587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6.3表扬奖励与责任追究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_Toc30587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1F9C4112">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_Toc200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预案解释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62519CEF">
          <w:pPr>
            <w:pStyle w:val="12"/>
            <w:tabs>
              <w:tab w:val="right" w:leader="dot" w:pos="9025"/>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_Toc28134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预案实施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_Toc28134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14:paraId="399D0488">
          <w:pPr>
            <w:widowControl w:val="0"/>
            <w:spacing w:line="480" w:lineRule="exact"/>
            <w:jc w:val="center"/>
            <w:rPr>
              <w:rFonts w:hint="eastAsia" w:ascii="仿宋_GB2312" w:hAnsi="仿宋_GB2312" w:eastAsia="仿宋_GB2312" w:cs="仿宋_GB2312"/>
              <w:color w:val="000000"/>
              <w:szCs w:val="28"/>
              <w:lang w:val="en-US" w:eastAsia="zh-CN" w:bidi="ar-SA"/>
            </w:rPr>
            <w:sectPr>
              <w:pgSz w:w="11905" w:h="16837"/>
              <w:pgMar w:top="1440" w:right="1440" w:bottom="1440" w:left="1440" w:header="720" w:footer="720" w:gutter="0"/>
              <w:cols w:space="720" w:num="1"/>
            </w:sectPr>
          </w:pPr>
          <w:r>
            <w:rPr>
              <w:rFonts w:hint="eastAsia" w:ascii="仿宋_GB2312" w:hAnsi="仿宋_GB2312" w:eastAsia="仿宋_GB2312" w:cs="仿宋_GB2312"/>
              <w:color w:val="000000"/>
              <w:sz w:val="28"/>
              <w:szCs w:val="28"/>
            </w:rPr>
            <w:fldChar w:fldCharType="end"/>
          </w:r>
        </w:p>
      </w:sdtContent>
    </w:sdt>
    <w:p w14:paraId="36819971">
      <w:pPr>
        <w:widowControl w:val="0"/>
        <w:spacing w:line="480" w:lineRule="exact"/>
        <w:jc w:val="center"/>
        <w:rPr>
          <w:rFonts w:hint="eastAsia" w:ascii="仿宋_GB2312" w:hAnsi="仿宋_GB2312" w:eastAsia="仿宋_GB2312" w:cs="仿宋_GB2312"/>
          <w:color w:val="000000"/>
          <w:szCs w:val="28"/>
          <w:lang w:val="en-US" w:eastAsia="zh-CN" w:bidi="ar-SA"/>
        </w:rPr>
      </w:pPr>
    </w:p>
    <w:p w14:paraId="77A87A11">
      <w:pPr>
        <w:rPr>
          <w:rFonts w:ascii="宋体" w:hAnsi="宋体" w:eastAsia="宋体"/>
          <w:color w:val="000000"/>
          <w:sz w:val="32"/>
          <w:szCs w:val="32"/>
        </w:rPr>
        <w:sectPr>
          <w:pgSz w:w="11905" w:h="16837"/>
          <w:pgMar w:top="1440" w:right="1440" w:bottom="1440" w:left="1440" w:header="720" w:footer="720" w:gutter="0"/>
          <w:cols w:space="720" w:num="1"/>
        </w:sectPr>
      </w:pPr>
    </w:p>
    <w:p w14:paraId="090CF6BA">
      <w:pPr>
        <w:pStyle w:val="3"/>
        <w:keepNext w:val="0"/>
        <w:keepLines w:val="0"/>
        <w:pageBreakBefore w:val="0"/>
        <w:shd w:val="clear"/>
        <w:kinsoku/>
        <w:wordWrap/>
        <w:overflowPunct/>
        <w:topLinePunct w:val="0"/>
        <w:autoSpaceDE/>
        <w:autoSpaceDN/>
        <w:bidi w:val="0"/>
        <w:adjustRightInd/>
        <w:snapToGrid/>
        <w:spacing w:line="540" w:lineRule="exact"/>
        <w:ind w:firstLine="640"/>
        <w:jc w:val="both"/>
      </w:pPr>
      <w:bookmarkStart w:id="0" w:name="_Toc11743"/>
      <w:bookmarkStart w:id="1" w:name="_Toc24773"/>
      <w:r>
        <w:rPr>
          <w:rFonts w:hint="eastAsia"/>
        </w:rPr>
        <w:t>1总则</w:t>
      </w:r>
      <w:bookmarkEnd w:id="0"/>
      <w:bookmarkEnd w:id="1"/>
    </w:p>
    <w:p w14:paraId="5161EF52">
      <w:pPr>
        <w:pStyle w:val="4"/>
        <w:keepNext w:val="0"/>
        <w:keepLines w:val="0"/>
        <w:pageBreakBefore w:val="0"/>
        <w:shd w:val="clear"/>
        <w:kinsoku/>
        <w:wordWrap/>
        <w:overflowPunct/>
        <w:topLinePunct w:val="0"/>
        <w:autoSpaceDE/>
        <w:autoSpaceDN/>
        <w:bidi w:val="0"/>
        <w:adjustRightInd/>
        <w:snapToGrid/>
        <w:spacing w:line="540" w:lineRule="exact"/>
        <w:ind w:firstLine="643"/>
        <w:jc w:val="both"/>
        <w:rPr>
          <w:rFonts w:hint="eastAsia" w:eastAsia="楷体"/>
          <w:lang w:eastAsia="zh-CN"/>
        </w:rPr>
      </w:pPr>
      <w:bookmarkStart w:id="2" w:name="_Toc27921"/>
      <w:bookmarkStart w:id="3" w:name="_Toc8807"/>
      <w:r>
        <w:rPr>
          <w:rFonts w:hint="eastAsia"/>
        </w:rPr>
        <w:t>1.1</w:t>
      </w:r>
      <w:bookmarkEnd w:id="2"/>
      <w:r>
        <w:rPr>
          <w:rFonts w:hint="eastAsia"/>
          <w:lang w:val="en-US" w:eastAsia="zh-CN"/>
        </w:rPr>
        <w:t>总体要求</w:t>
      </w:r>
      <w:bookmarkEnd w:id="3"/>
    </w:p>
    <w:p w14:paraId="4E7AE1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40" w:lineRule="exac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ascii="仿宋_GB2312" w:hAnsi="Times New Roman" w:eastAsia="仿宋_GB2312" w:cs="仿宋_GB2312"/>
          <w:i w:val="0"/>
          <w:iCs w:val="0"/>
          <w:caps w:val="0"/>
          <w:color w:val="333333"/>
          <w:spacing w:val="0"/>
          <w:kern w:val="0"/>
          <w:sz w:val="32"/>
          <w:szCs w:val="32"/>
          <w:shd w:val="clear" w:fill="FFFFFF"/>
          <w:vertAlign w:val="baseline"/>
          <w:lang w:val="en-US" w:eastAsia="zh-CN" w:bidi="ar"/>
        </w:rPr>
        <w:t>深入贯彻习近平总书记关于防灾减灾救灾工</w:t>
      </w:r>
      <w:r>
        <w:rPr>
          <w:rFonts w:hint="eastAsia" w:ascii="仿宋_GB2312" w:hAnsi="Helvetica" w:eastAsia="仿宋_GB2312" w:cs="仿宋_GB2312"/>
          <w:i w:val="0"/>
          <w:iCs w:val="0"/>
          <w:caps w:val="0"/>
          <w:color w:val="333333"/>
          <w:spacing w:val="0"/>
          <w:kern w:val="0"/>
          <w:sz w:val="32"/>
          <w:szCs w:val="32"/>
          <w:shd w:val="clear" w:fill="FFFFFF"/>
          <w:vertAlign w:val="baseline"/>
          <w:lang w:val="en-US" w:eastAsia="zh-CN" w:bidi="ar"/>
        </w:rPr>
        <w:t>作的</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重要论述和重要指示批示精神，落实省委、省政府，市委、市政府</w:t>
      </w:r>
      <w:r>
        <w:rPr>
          <w:rFonts w:hint="eastAsia" w:ascii="仿宋_GB2312" w:hAnsi="Helvetica" w:eastAsia="仿宋_GB2312" w:cs="仿宋_GB2312"/>
          <w:i w:val="0"/>
          <w:iCs w:val="0"/>
          <w:caps w:val="0"/>
          <w:color w:val="333333"/>
          <w:spacing w:val="0"/>
          <w:kern w:val="0"/>
          <w:sz w:val="32"/>
          <w:szCs w:val="32"/>
          <w:shd w:val="clear" w:fill="FFFFFF"/>
          <w:vertAlign w:val="baseline"/>
          <w:lang w:val="en-US" w:eastAsia="zh-CN" w:bidi="ar"/>
        </w:rPr>
        <w:t>的</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决策部署和区委</w:t>
      </w:r>
      <w:r>
        <w:rPr>
          <w:rFonts w:hint="eastAsia" w:ascii="仿宋_GB2312" w:hAnsi="Helvetica" w:eastAsia="仿宋_GB2312" w:cs="仿宋_GB2312"/>
          <w:i w:val="0"/>
          <w:iCs w:val="0"/>
          <w:caps w:val="0"/>
          <w:color w:val="333333"/>
          <w:spacing w:val="0"/>
          <w:kern w:val="0"/>
          <w:sz w:val="32"/>
          <w:szCs w:val="32"/>
          <w:shd w:val="clear" w:fill="FFFFFF"/>
          <w:vertAlign w:val="baseline"/>
          <w:lang w:val="en-US" w:eastAsia="zh-CN" w:bidi="ar"/>
        </w:rPr>
        <w:t>、区政府</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的工作要求，建立健全低温雨雪冰冻灾害防范应对工作机制，科学、有序、高效组织开展我区低温雨雪冰冻灾害防范应对工作，全力保障人民群众生命财产安全和社会大局稳定。</w:t>
      </w:r>
    </w:p>
    <w:p w14:paraId="365127D0">
      <w:pPr>
        <w:pStyle w:val="4"/>
        <w:keepNext w:val="0"/>
        <w:keepLines w:val="0"/>
        <w:pageBreakBefore w:val="0"/>
        <w:shd w:val="clear"/>
        <w:kinsoku/>
        <w:wordWrap/>
        <w:overflowPunct/>
        <w:topLinePunct w:val="0"/>
        <w:autoSpaceDE/>
        <w:autoSpaceDN/>
        <w:bidi w:val="0"/>
        <w:adjustRightInd/>
        <w:snapToGrid/>
        <w:spacing w:line="540" w:lineRule="exact"/>
        <w:ind w:firstLine="643"/>
        <w:jc w:val="both"/>
      </w:pPr>
      <w:bookmarkStart w:id="4" w:name="_Toc18626"/>
      <w:bookmarkStart w:id="5" w:name="_Toc21256"/>
      <w:r>
        <w:rPr>
          <w:rFonts w:hint="eastAsia"/>
        </w:rPr>
        <w:t>1.2编制依据</w:t>
      </w:r>
      <w:bookmarkEnd w:id="4"/>
      <w:bookmarkEnd w:id="5"/>
    </w:p>
    <w:p w14:paraId="62711C2B">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Helvetica" w:eastAsia="仿宋_GB2312" w:cs="仿宋_GB2312"/>
          <w:i w:val="0"/>
          <w:iCs w:val="0"/>
          <w:caps w:val="0"/>
          <w:color w:val="333333"/>
          <w:spacing w:val="0"/>
          <w:kern w:val="0"/>
          <w:sz w:val="32"/>
          <w:szCs w:val="32"/>
          <w:shd w:val="clear" w:fill="FFFFFF"/>
          <w:vertAlign w:val="baseline"/>
          <w:lang w:val="en-US" w:eastAsia="zh-CN" w:bidi="ar"/>
        </w:rPr>
        <w:t>按照</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《中华人民共和国突发事件应对法》《国家低温雨雪冰冻灾害应急预案》《安徽省低温雨雪冰冻灾害应急预案》</w:t>
      </w:r>
      <w:r>
        <w:rPr>
          <w:rFonts w:hint="eastAsia" w:ascii="仿宋_GB2312" w:hAnsi="仿宋" w:eastAsia="仿宋_GB2312" w:cs="仿宋"/>
          <w:color w:val="333333"/>
          <w:sz w:val="32"/>
          <w:szCs w:val="32"/>
          <w:shd w:val="clear" w:color="auto" w:fill="FFFFFF"/>
        </w:rPr>
        <w:t>《淮北市低温雨雪冰冻灾害应急预案》</w:t>
      </w:r>
      <w:r>
        <w:rPr>
          <w:rFonts w:hint="eastAsia" w:ascii="仿宋_GB2312" w:hAnsi="仿宋" w:eastAsia="仿宋_GB2312" w:cs="仿宋"/>
          <w:color w:val="333333"/>
          <w:sz w:val="32"/>
          <w:szCs w:val="32"/>
          <w:shd w:val="clear" w:color="auto" w:fill="FFFFFF"/>
          <w:lang w:val="en-US" w:eastAsia="zh-CN"/>
        </w:rPr>
        <w:t>和</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《烈山区突发事件总体应急预案》</w:t>
      </w:r>
      <w:r>
        <w:rPr>
          <w:rFonts w:hint="eastAsia" w:ascii="仿宋_GB2312" w:hAnsi="仿宋" w:eastAsia="仿宋_GB2312" w:cs="仿宋"/>
          <w:color w:val="333333"/>
          <w:sz w:val="32"/>
          <w:szCs w:val="32"/>
          <w:shd w:val="clear" w:color="auto" w:fill="FFFFFF"/>
        </w:rPr>
        <w:t>等有关法律法规及相关预案，结合</w:t>
      </w:r>
      <w:r>
        <w:rPr>
          <w:rFonts w:hint="eastAsia" w:ascii="仿宋_GB2312" w:hAnsi="仿宋" w:eastAsia="仿宋_GB2312" w:cs="仿宋"/>
          <w:color w:val="333333"/>
          <w:sz w:val="32"/>
          <w:szCs w:val="32"/>
          <w:shd w:val="clear" w:color="auto" w:fill="FFFFFF"/>
          <w:lang w:val="en-US" w:eastAsia="zh-CN"/>
        </w:rPr>
        <w:t>我区</w:t>
      </w:r>
      <w:r>
        <w:rPr>
          <w:rFonts w:hint="eastAsia" w:ascii="仿宋_GB2312" w:hAnsi="仿宋" w:eastAsia="仿宋_GB2312" w:cs="仿宋"/>
          <w:color w:val="333333"/>
          <w:sz w:val="32"/>
          <w:szCs w:val="32"/>
          <w:shd w:val="clear" w:color="auto" w:fill="FFFFFF"/>
        </w:rPr>
        <w:t>实际制定本预案。</w:t>
      </w:r>
    </w:p>
    <w:p w14:paraId="28529402">
      <w:pPr>
        <w:pStyle w:val="4"/>
        <w:keepNext w:val="0"/>
        <w:keepLines w:val="0"/>
        <w:pageBreakBefore w:val="0"/>
        <w:shd w:val="clear"/>
        <w:kinsoku/>
        <w:wordWrap/>
        <w:overflowPunct/>
        <w:topLinePunct w:val="0"/>
        <w:autoSpaceDE/>
        <w:autoSpaceDN/>
        <w:bidi w:val="0"/>
        <w:adjustRightInd/>
        <w:snapToGrid/>
        <w:spacing w:line="540" w:lineRule="exact"/>
        <w:ind w:firstLine="643"/>
        <w:jc w:val="both"/>
      </w:pPr>
      <w:bookmarkStart w:id="6" w:name="_Toc937"/>
      <w:bookmarkStart w:id="7" w:name="_Toc25062"/>
      <w:r>
        <w:rPr>
          <w:rFonts w:hint="eastAsia"/>
        </w:rPr>
        <w:t>1.3适用范围</w:t>
      </w:r>
      <w:bookmarkEnd w:id="6"/>
      <w:bookmarkEnd w:id="7"/>
    </w:p>
    <w:p w14:paraId="2A45ED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40" w:lineRule="exac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本预案适用于我区发生的低温雨雪冰冻灾害预防和应对处置工作。低温雨雪冰冻灾害指由寒潮和低温、雨雪、冰冻等天气引发大范围积雪、结冰、积冰现象，直接或间接威胁人民群众生命安全；农、林、牧、渔业遭受重大损失；对多个种类重要基础设施产生重大影响，导致大范围交通中断、停电、停水、停气、通信中断、构筑物倒塌等严重影响居民生产生活的复合型自然灾害。</w:t>
      </w:r>
    </w:p>
    <w:p w14:paraId="6E9C0EDD">
      <w:pPr>
        <w:pStyle w:val="4"/>
        <w:keepNext w:val="0"/>
        <w:keepLines w:val="0"/>
        <w:pageBreakBefore w:val="0"/>
        <w:shd w:val="clear"/>
        <w:kinsoku/>
        <w:wordWrap/>
        <w:overflowPunct/>
        <w:topLinePunct w:val="0"/>
        <w:autoSpaceDE/>
        <w:autoSpaceDN/>
        <w:bidi w:val="0"/>
        <w:adjustRightInd/>
        <w:snapToGrid/>
        <w:spacing w:line="540" w:lineRule="exact"/>
        <w:ind w:firstLine="643"/>
        <w:jc w:val="both"/>
      </w:pPr>
      <w:bookmarkStart w:id="8" w:name="_Toc8875"/>
      <w:bookmarkStart w:id="9" w:name="_Toc18434"/>
      <w:r>
        <w:rPr>
          <w:rFonts w:hint="eastAsia"/>
        </w:rPr>
        <w:t>1.4工作原则</w:t>
      </w:r>
      <w:bookmarkEnd w:id="8"/>
      <w:bookmarkEnd w:id="9"/>
    </w:p>
    <w:p w14:paraId="1DCB15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40" w:lineRule="exac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kern w:val="0"/>
          <w:sz w:val="32"/>
          <w:szCs w:val="32"/>
          <w:shd w:val="clear" w:fill="FFFFFF"/>
          <w:vertAlign w:val="baseline"/>
          <w:lang w:val="en-US" w:eastAsia="zh-CN" w:bidi="ar"/>
        </w:rPr>
        <w:t>1.</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以人为本，安全第一。把保障公众的生命安全和身体健康、最大程度地预防和减少突发事件造成的人员伤亡作为首要任务，切实加强应急救援人员的安全防护。</w:t>
      </w:r>
    </w:p>
    <w:p w14:paraId="14286E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kern w:val="0"/>
          <w:sz w:val="32"/>
          <w:szCs w:val="32"/>
          <w:shd w:val="clear" w:fill="FFFFFF"/>
          <w:vertAlign w:val="baseline"/>
          <w:lang w:val="en-US" w:eastAsia="zh-CN" w:bidi="ar"/>
        </w:rPr>
        <w:t>2.</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统一领导，分级负责。各镇（街道）负责做好本辖区的低温雨雪冰冻灾害防范应对工作。各单位根据各自的职责和权限，负责防范和应急处置工作。各企业要认真履行安全生产责任主体的职责，建立与政府应急预案和应急机制相匹配的应急体系。</w:t>
      </w:r>
    </w:p>
    <w:p w14:paraId="672FD2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kern w:val="0"/>
          <w:sz w:val="32"/>
          <w:szCs w:val="32"/>
          <w:shd w:val="clear" w:fill="FFFFFF"/>
          <w:vertAlign w:val="baseline"/>
          <w:lang w:val="en-US" w:eastAsia="zh-CN" w:bidi="ar"/>
        </w:rPr>
        <w:t>3.</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预防为主，防救结合。贯彻落实预防为主，预防与应急结合的原则。做好灾前监测、预报、预警和预防工作，做好灾后常态下的风险评估、物资储备、队伍建设、完善装备、预案演练等工作。</w:t>
      </w:r>
    </w:p>
    <w:p w14:paraId="67B0DD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kern w:val="0"/>
          <w:sz w:val="32"/>
          <w:szCs w:val="32"/>
          <w:shd w:val="clear" w:fill="FFFFFF"/>
          <w:vertAlign w:val="baseline"/>
          <w:lang w:val="en-US" w:eastAsia="zh-CN" w:bidi="ar"/>
        </w:rPr>
        <w:t>4.</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快速反应，协同应对。加强应急队伍建设，</w:t>
      </w:r>
      <w:r>
        <w:rPr>
          <w:rFonts w:hint="eastAsia" w:ascii="仿宋_GB2312" w:hAnsi="Helvetica" w:eastAsia="仿宋_GB2312" w:cs="仿宋_GB2312"/>
          <w:i w:val="0"/>
          <w:iCs w:val="0"/>
          <w:caps w:val="0"/>
          <w:color w:val="333333"/>
          <w:spacing w:val="0"/>
          <w:kern w:val="0"/>
          <w:sz w:val="32"/>
          <w:szCs w:val="32"/>
          <w:shd w:val="clear" w:fill="FFFFFF"/>
          <w:vertAlign w:val="baseline"/>
          <w:lang w:val="en-US" w:eastAsia="zh-CN" w:bidi="ar"/>
        </w:rPr>
        <w:t>强化</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区域合作和部门合作，建立协调联动机制，形成统一指挥、反应灵敏、功能齐全、协调有序、运转高效的应急管理快速应对机制。充分发挥专业救援力量的骨干作用和社会公众的基础作用。</w:t>
      </w:r>
    </w:p>
    <w:p w14:paraId="3EFA9B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kern w:val="0"/>
          <w:sz w:val="32"/>
          <w:szCs w:val="32"/>
          <w:shd w:val="clear" w:fill="FFFFFF"/>
          <w:vertAlign w:val="baseline"/>
          <w:lang w:val="en-US" w:eastAsia="zh-CN" w:bidi="ar"/>
        </w:rPr>
        <w:t>5.</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社会动员，全民参与。</w:t>
      </w:r>
      <w:r>
        <w:rPr>
          <w:rFonts w:hint="eastAsia" w:ascii="仿宋_GB2312" w:hAnsi="Helvetica" w:eastAsia="仿宋_GB2312" w:cs="仿宋_GB2312"/>
          <w:i w:val="0"/>
          <w:iCs w:val="0"/>
          <w:caps w:val="0"/>
          <w:color w:val="333333"/>
          <w:spacing w:val="0"/>
          <w:kern w:val="0"/>
          <w:sz w:val="32"/>
          <w:szCs w:val="32"/>
          <w:shd w:val="clear" w:fill="FFFFFF"/>
          <w:vertAlign w:val="baseline"/>
          <w:lang w:val="en-US" w:eastAsia="zh-CN" w:bidi="ar"/>
        </w:rPr>
        <w:t>坚持</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政府主导，</w:t>
      </w:r>
      <w:r>
        <w:rPr>
          <w:rFonts w:hint="eastAsia" w:ascii="仿宋_GB2312" w:hAnsi="Helvetica" w:eastAsia="仿宋_GB2312" w:cs="仿宋_GB2312"/>
          <w:i w:val="0"/>
          <w:iCs w:val="0"/>
          <w:caps w:val="0"/>
          <w:color w:val="333333"/>
          <w:spacing w:val="0"/>
          <w:kern w:val="0"/>
          <w:sz w:val="32"/>
          <w:szCs w:val="32"/>
          <w:shd w:val="clear" w:fill="FFFFFF"/>
          <w:vertAlign w:val="baseline"/>
          <w:lang w:val="en-US" w:eastAsia="zh-CN" w:bidi="ar"/>
        </w:rPr>
        <w:t>发挥</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企事业单位、社区和志愿者队伍</w:t>
      </w:r>
      <w:r>
        <w:rPr>
          <w:rFonts w:hint="eastAsia" w:ascii="仿宋_GB2312" w:hAnsi="Helvetica" w:eastAsia="仿宋_GB2312" w:cs="仿宋_GB2312"/>
          <w:i w:val="0"/>
          <w:iCs w:val="0"/>
          <w:caps w:val="0"/>
          <w:color w:val="333333"/>
          <w:spacing w:val="0"/>
          <w:kern w:val="0"/>
          <w:sz w:val="32"/>
          <w:szCs w:val="32"/>
          <w:shd w:val="clear" w:fill="FFFFFF"/>
          <w:vertAlign w:val="baseline"/>
          <w:lang w:val="en-US" w:eastAsia="zh-CN" w:bidi="ar"/>
        </w:rPr>
        <w:t>的</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作用，动员企业及全社会的人力、物力和财力，依靠公众力量，形成应对突发事件的合力。同时，增强公众的公共安全和风险防范意识，提高全社会的避险救助能力。</w:t>
      </w:r>
    </w:p>
    <w:p w14:paraId="538213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kern w:val="0"/>
          <w:sz w:val="32"/>
          <w:szCs w:val="32"/>
          <w:shd w:val="clear" w:fill="FFFFFF"/>
          <w:vertAlign w:val="baseline"/>
          <w:lang w:val="en-US" w:eastAsia="zh-CN" w:bidi="ar"/>
        </w:rPr>
        <w:t>6.</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依靠科学，依法规范。采用先进的救援装备和技术，充分发挥专家作用，实行科学民主决策，增强应急救援能力；依法规范应急管理工作，确保应急预案的科学性、权威性和可操作性。</w:t>
      </w:r>
    </w:p>
    <w:p w14:paraId="07898A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560" w:lineRule="exact"/>
        <w:ind w:left="0" w:right="0" w:firstLine="640"/>
        <w:jc w:val="both"/>
        <w:textAlignment w:val="baseline"/>
        <w:rPr>
          <w:rFonts w:hint="default" w:ascii="Helvetica" w:hAnsi="Helvetica" w:eastAsia="Helvetica" w:cs="Helvetica"/>
          <w:i w:val="0"/>
          <w:iCs w:val="0"/>
          <w:caps w:val="0"/>
          <w:color w:val="333333"/>
          <w:spacing w:val="0"/>
          <w:sz w:val="24"/>
          <w:szCs w:val="24"/>
        </w:rPr>
      </w:pPr>
      <w:r>
        <w:rPr>
          <w:rFonts w:hint="default" w:ascii="Times New Roman" w:hAnsi="Times New Roman" w:eastAsia="Helvetica" w:cs="Times New Roman"/>
          <w:i w:val="0"/>
          <w:iCs w:val="0"/>
          <w:caps w:val="0"/>
          <w:color w:val="333333"/>
          <w:spacing w:val="0"/>
          <w:kern w:val="0"/>
          <w:sz w:val="32"/>
          <w:szCs w:val="32"/>
          <w:shd w:val="clear" w:fill="FFFFFF"/>
          <w:vertAlign w:val="baseline"/>
          <w:lang w:val="en-US" w:eastAsia="zh-CN" w:bidi="ar"/>
        </w:rPr>
        <w:t>7.</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信息公开，引导舆论。在防范应对工作中，要满足社会公众的知情权，做到信息透明、信息公开（涉及国家机密、商业机密和个人隐私的信息除外），并对社会公众舆情进行正确、有效引导。</w:t>
      </w:r>
    </w:p>
    <w:p w14:paraId="55B057ED">
      <w:pPr>
        <w:pStyle w:val="3"/>
        <w:keepNext w:val="0"/>
        <w:keepLines w:val="0"/>
        <w:pageBreakBefore w:val="0"/>
        <w:shd w:val="clear"/>
        <w:kinsoku/>
        <w:wordWrap/>
        <w:overflowPunct/>
        <w:topLinePunct w:val="0"/>
        <w:autoSpaceDE/>
        <w:autoSpaceDN/>
        <w:bidi w:val="0"/>
        <w:adjustRightInd/>
        <w:snapToGrid/>
        <w:spacing w:line="560" w:lineRule="exact"/>
        <w:ind w:firstLine="640"/>
        <w:jc w:val="both"/>
      </w:pPr>
      <w:bookmarkStart w:id="10" w:name="_Toc2467"/>
      <w:bookmarkStart w:id="11" w:name="_Toc26667"/>
      <w:r>
        <w:rPr>
          <w:rFonts w:hint="eastAsia"/>
        </w:rPr>
        <w:t>2组织指挥</w:t>
      </w:r>
      <w:r>
        <w:rPr>
          <w:rFonts w:hint="eastAsia"/>
          <w:lang w:val="en-US" w:eastAsia="zh-CN"/>
        </w:rPr>
        <w:t>体系</w:t>
      </w:r>
      <w:r>
        <w:rPr>
          <w:rFonts w:hint="eastAsia"/>
        </w:rPr>
        <w:t>及职责</w:t>
      </w:r>
      <w:bookmarkEnd w:id="10"/>
      <w:bookmarkEnd w:id="11"/>
    </w:p>
    <w:p w14:paraId="2BA9CFB5">
      <w:pPr>
        <w:pStyle w:val="4"/>
        <w:keepNext w:val="0"/>
        <w:keepLines w:val="0"/>
        <w:pageBreakBefore w:val="0"/>
        <w:shd w:val="clear"/>
        <w:kinsoku/>
        <w:wordWrap/>
        <w:overflowPunct/>
        <w:topLinePunct w:val="0"/>
        <w:autoSpaceDE/>
        <w:autoSpaceDN/>
        <w:bidi w:val="0"/>
        <w:adjustRightInd/>
        <w:snapToGrid/>
        <w:spacing w:afterAutospacing="0" w:line="560" w:lineRule="exact"/>
        <w:ind w:firstLine="643"/>
        <w:jc w:val="both"/>
        <w:rPr>
          <w:rFonts w:hint="eastAsia"/>
          <w:lang w:val="en-US" w:eastAsia="zh-CN"/>
        </w:rPr>
      </w:pPr>
      <w:bookmarkStart w:id="12" w:name="_Toc11421"/>
      <w:bookmarkStart w:id="13" w:name="_Toc17584"/>
      <w:r>
        <w:rPr>
          <w:rFonts w:hint="eastAsia"/>
        </w:rPr>
        <w:t>2.1</w:t>
      </w:r>
      <w:bookmarkEnd w:id="12"/>
      <w:r>
        <w:rPr>
          <w:rFonts w:hint="eastAsia"/>
          <w:lang w:val="en-US" w:eastAsia="zh-CN"/>
        </w:rPr>
        <w:t>指挥机构</w:t>
      </w:r>
      <w:bookmarkEnd w:id="13"/>
    </w:p>
    <w:p w14:paraId="55C5427D">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 w:eastAsia="仿宋_GB2312" w:cs="仿宋"/>
          <w:b/>
          <w:bCs/>
          <w:color w:val="333333"/>
          <w:sz w:val="32"/>
          <w:szCs w:val="32"/>
          <w:shd w:val="clear" w:color="auto" w:fill="FFFFFF"/>
          <w:lang w:val="en-US" w:eastAsia="zh-CN"/>
        </w:rPr>
      </w:pPr>
      <w:r>
        <w:rPr>
          <w:rFonts w:hint="eastAsia" w:ascii="仿宋_GB2312" w:hAnsi="仿宋" w:eastAsia="仿宋_GB2312" w:cs="仿宋"/>
          <w:b/>
          <w:bCs/>
          <w:color w:val="333333"/>
          <w:sz w:val="32"/>
          <w:szCs w:val="32"/>
          <w:shd w:val="clear" w:color="auto" w:fill="FFFFFF"/>
          <w:lang w:val="en-US" w:eastAsia="zh-CN"/>
        </w:rPr>
        <w:t>2.1.1区安全生产（防灾减灾救灾）委员会及职责</w:t>
      </w:r>
    </w:p>
    <w:p w14:paraId="10F2D7C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在区委、区政府的领导下，区安全生产（防灾减灾救灾）委员会（以下简称区安委会），负责统筹指导、协调和监督全区低温雨雪冰冻灾害防范应对工作。主要职责是贯彻落实省委、省政府、市委、市政府、市安全生产（防灾减灾救灾委员会）及办公室和区委、区政府的决策部署及工作要求。研究审议全区低温雨雪冰冻灾害防范应对的重大政策、重大规划、重要制度及防御方案，并推动实施。统筹加强低温雨雪冰冻灾害预警和处置信息共享，指导、协调和监督低温雨雪冰冻灾害应急抢险救援和救灾工作。完成区委、区政府交办的其他事项。</w:t>
      </w:r>
    </w:p>
    <w:p w14:paraId="6BC368E5">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 w:eastAsia="仿宋_GB2312" w:cs="仿宋"/>
          <w:b/>
          <w:bCs/>
          <w:color w:val="333333"/>
          <w:sz w:val="32"/>
          <w:szCs w:val="32"/>
          <w:shd w:val="clear" w:color="auto" w:fill="FFFFFF"/>
          <w:lang w:val="en-US" w:eastAsia="zh-CN"/>
        </w:rPr>
      </w:pPr>
      <w:bookmarkStart w:id="14" w:name="_Toc8257"/>
      <w:r>
        <w:rPr>
          <w:rFonts w:hint="eastAsia" w:ascii="仿宋_GB2312" w:hAnsi="仿宋" w:eastAsia="仿宋_GB2312" w:cs="仿宋"/>
          <w:b/>
          <w:bCs/>
          <w:color w:val="333333"/>
          <w:sz w:val="32"/>
          <w:szCs w:val="32"/>
          <w:shd w:val="clear" w:color="auto" w:fill="FFFFFF"/>
          <w:lang w:val="en-US" w:eastAsia="zh-CN"/>
        </w:rPr>
        <w:t>2.1.2区安全生产（防灾减灾救灾）委员会办公室及职责</w:t>
      </w:r>
      <w:bookmarkEnd w:id="14"/>
    </w:p>
    <w:p w14:paraId="70ECDD9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default"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lang w:val="en-US" w:eastAsia="zh-CN"/>
        </w:rPr>
        <w:t>区安全生产（防灾减灾救灾）委员会办公室（以下简称区安委会办公室，办公室设在区应急管理局），办公室主任由区应急管理局主要负责人兼任，副主任由区应急管理局、淮北市自然资源和规划局烈山分局、区农业农村水利局、烈山区消防救援大队分管领导担任。负责与各镇（街道）、相关单位的沟通联络、政策协调、信息通报等，组织开展会商研判、风险评估、抢险救援、力量动员、救灾救助等工作。主要包括：</w:t>
      </w:r>
    </w:p>
    <w:p w14:paraId="5E2B432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lang w:val="en-US" w:eastAsia="zh-CN"/>
        </w:rPr>
        <w:t>1.</w:t>
      </w:r>
      <w:r>
        <w:rPr>
          <w:rFonts w:hint="eastAsia" w:ascii="仿宋_GB2312" w:hAnsi="仿宋" w:eastAsia="仿宋_GB2312" w:cs="仿宋"/>
          <w:color w:val="333333"/>
          <w:sz w:val="32"/>
          <w:szCs w:val="32"/>
          <w:shd w:val="clear" w:color="auto" w:fill="FFFFFF"/>
          <w:lang w:val="en-US" w:eastAsia="zh-CN"/>
        </w:rPr>
        <w:t>组织开展低温雨雪冰冻灾害风险形势会商研判，统筹加强低温雨雪冰冻灾害监测预警和处置信息共享；</w:t>
      </w:r>
    </w:p>
    <w:p w14:paraId="1C1FEBE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lang w:val="en-US" w:eastAsia="zh-CN"/>
        </w:rPr>
        <w:t>2.</w:t>
      </w:r>
      <w:r>
        <w:rPr>
          <w:rFonts w:hint="eastAsia" w:ascii="仿宋_GB2312" w:hAnsi="仿宋" w:eastAsia="仿宋_GB2312" w:cs="仿宋"/>
          <w:color w:val="333333"/>
          <w:sz w:val="32"/>
          <w:szCs w:val="32"/>
          <w:shd w:val="clear" w:color="auto" w:fill="FFFFFF"/>
          <w:lang w:val="en-US" w:eastAsia="zh-CN"/>
        </w:rPr>
        <w:t>及时掌握低温雨雪冰冻灾害情况和防范应对工作进展，协调解决灾害防范应对处置的重大问题，推动相关成员单位加强与受灾地区的工作沟通；</w:t>
      </w:r>
    </w:p>
    <w:p w14:paraId="7FF8CD5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lang w:val="en-US" w:eastAsia="zh-CN"/>
        </w:rPr>
        <w:t>3.</w:t>
      </w:r>
      <w:r>
        <w:rPr>
          <w:rFonts w:hint="eastAsia" w:ascii="仿宋_GB2312" w:hAnsi="仿宋" w:eastAsia="仿宋_GB2312" w:cs="仿宋"/>
          <w:color w:val="333333"/>
          <w:sz w:val="32"/>
          <w:szCs w:val="32"/>
          <w:shd w:val="clear" w:color="auto" w:fill="FFFFFF"/>
          <w:lang w:val="en-US" w:eastAsia="zh-CN"/>
        </w:rPr>
        <w:t>建立信息报送和通报机制，做好信息汇总、上报、通报、发布等工作；</w:t>
      </w:r>
    </w:p>
    <w:p w14:paraId="7AC5E48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lang w:val="en-US" w:eastAsia="zh-CN"/>
        </w:rPr>
        <w:t>4.</w:t>
      </w:r>
      <w:r>
        <w:rPr>
          <w:rFonts w:hint="eastAsia" w:ascii="仿宋_GB2312" w:hAnsi="仿宋" w:eastAsia="仿宋_GB2312" w:cs="仿宋"/>
          <w:color w:val="333333"/>
          <w:sz w:val="32"/>
          <w:szCs w:val="32"/>
          <w:shd w:val="clear" w:color="auto" w:fill="FFFFFF"/>
          <w:lang w:val="en-US" w:eastAsia="zh-CN"/>
        </w:rPr>
        <w:t>统筹协调开展重特大低温雨雪冰冻灾害应急抢险救援和救灾等工作；</w:t>
      </w:r>
    </w:p>
    <w:p w14:paraId="3B54360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default" w:ascii="仿宋_GB2312" w:hAnsi="仿宋" w:eastAsia="仿宋_GB2312" w:cs="仿宋"/>
          <w:color w:val="333333"/>
          <w:sz w:val="32"/>
          <w:szCs w:val="32"/>
          <w:shd w:val="clear" w:color="auto" w:fill="FFFFFF"/>
        </w:rPr>
      </w:pPr>
      <w:r>
        <w:rPr>
          <w:rFonts w:hint="default" w:ascii="仿宋_GB2312" w:hAnsi="仿宋" w:eastAsia="仿宋_GB2312" w:cs="仿宋"/>
          <w:color w:val="333333"/>
          <w:sz w:val="32"/>
          <w:szCs w:val="32"/>
          <w:shd w:val="clear" w:color="auto" w:fill="FFFFFF"/>
          <w:lang w:val="en-US" w:eastAsia="zh-CN"/>
        </w:rPr>
        <w:t>5.</w:t>
      </w:r>
      <w:r>
        <w:rPr>
          <w:rFonts w:hint="eastAsia" w:ascii="仿宋_GB2312" w:hAnsi="仿宋" w:eastAsia="仿宋_GB2312" w:cs="仿宋"/>
          <w:color w:val="333333"/>
          <w:sz w:val="32"/>
          <w:szCs w:val="32"/>
          <w:shd w:val="clear" w:color="auto" w:fill="FFFFFF"/>
          <w:lang w:val="en-US" w:eastAsia="zh-CN"/>
        </w:rPr>
        <w:t>承办区安委会交办的其他低温雨雪冰冻灾害相关事项。</w:t>
      </w:r>
    </w:p>
    <w:p w14:paraId="35AF3D48">
      <w:pPr>
        <w:pStyle w:val="4"/>
        <w:keepNext w:val="0"/>
        <w:keepLines w:val="0"/>
        <w:pageBreakBefore w:val="0"/>
        <w:shd w:val="clear"/>
        <w:kinsoku/>
        <w:wordWrap/>
        <w:overflowPunct/>
        <w:topLinePunct w:val="0"/>
        <w:autoSpaceDE/>
        <w:autoSpaceDN/>
        <w:bidi w:val="0"/>
        <w:adjustRightInd/>
        <w:snapToGrid/>
        <w:spacing w:line="560" w:lineRule="exact"/>
        <w:ind w:firstLine="643"/>
        <w:jc w:val="both"/>
      </w:pPr>
      <w:bookmarkStart w:id="15" w:name="_Toc21209"/>
      <w:bookmarkStart w:id="16" w:name="_Toc20441"/>
      <w:r>
        <w:rPr>
          <w:rFonts w:hint="eastAsia"/>
        </w:rPr>
        <w:t>2.</w:t>
      </w:r>
      <w:r>
        <w:rPr>
          <w:rFonts w:hint="eastAsia"/>
          <w:lang w:val="en-US" w:eastAsia="zh-CN"/>
        </w:rPr>
        <w:t>2</w:t>
      </w:r>
      <w:r>
        <w:rPr>
          <w:rFonts w:hint="eastAsia"/>
        </w:rPr>
        <w:t>成员单位职责</w:t>
      </w:r>
      <w:bookmarkEnd w:id="15"/>
      <w:bookmarkEnd w:id="16"/>
    </w:p>
    <w:p w14:paraId="2C789DB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default" w:ascii="仿宋_GB2312" w:hAnsi="仿宋" w:eastAsia="仿宋_GB2312" w:cs="仿宋"/>
          <w:color w:val="333333"/>
          <w:sz w:val="32"/>
          <w:szCs w:val="32"/>
          <w:shd w:val="clear" w:color="auto" w:fill="FFFFFF"/>
          <w:lang w:val="en-US"/>
        </w:rPr>
      </w:pPr>
      <w:r>
        <w:rPr>
          <w:rFonts w:hint="eastAsia" w:ascii="仿宋_GB2312" w:hAnsi="仿宋" w:eastAsia="仿宋_GB2312" w:cs="仿宋"/>
          <w:color w:val="333333"/>
          <w:sz w:val="32"/>
          <w:szCs w:val="32"/>
          <w:shd w:val="clear" w:color="auto" w:fill="FFFFFF"/>
          <w:lang w:val="en-US" w:eastAsia="zh-CN"/>
        </w:rPr>
        <w:t>区安委会各成员单位依据各自职责，做好行业领域低温雨雪冰冻灾害预防与准备、监测与预警、应急处置与救援、灾后恢复与重建等工作，向区安委会办公室及时报告相关信息。完成区安委会交办的其它工作。</w:t>
      </w:r>
    </w:p>
    <w:p w14:paraId="1ECEB505">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（1）区委宣传部：</w:t>
      </w:r>
      <w:r>
        <w:rPr>
          <w:rFonts w:hint="eastAsia" w:ascii="仿宋_GB2312" w:hAnsi="仿宋" w:eastAsia="仿宋_GB2312" w:cs="仿宋"/>
          <w:color w:val="333333"/>
          <w:sz w:val="32"/>
          <w:szCs w:val="32"/>
          <w:shd w:val="clear" w:color="auto" w:fill="FFFFFF"/>
        </w:rPr>
        <w:t>负责协调和组织全区主流媒体及时对全区低温雨雪冰冻灾害应对处置情况进行宣传报道，做好舆情监测和引导工作。及时分析网络舆情态势，协助开展网络应急处置工作。</w:t>
      </w:r>
    </w:p>
    <w:p w14:paraId="7B034DB1">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（2）区人武部：</w:t>
      </w:r>
      <w:r>
        <w:rPr>
          <w:rFonts w:hint="eastAsia" w:ascii="仿宋_GB2312" w:hAnsi="仿宋" w:eastAsia="仿宋_GB2312" w:cs="仿宋"/>
          <w:color w:val="333333"/>
          <w:sz w:val="32"/>
          <w:szCs w:val="32"/>
          <w:shd w:val="clear" w:color="auto" w:fill="FFFFFF"/>
        </w:rPr>
        <w:t>负责按需组织民兵、预备役参加抗雪防冻救灾工作。</w:t>
      </w:r>
    </w:p>
    <w:p w14:paraId="48C86714">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w:t>
      </w:r>
      <w:r>
        <w:rPr>
          <w:rFonts w:ascii="仿宋_GB2312" w:hAnsi="仿宋" w:eastAsia="仿宋_GB2312" w:cs="仿宋"/>
          <w:b/>
          <w:bCs/>
          <w:color w:val="333333"/>
          <w:sz w:val="32"/>
          <w:szCs w:val="32"/>
          <w:shd w:val="clear" w:color="auto" w:fill="FFFFFF"/>
        </w:rPr>
        <w:t>3</w:t>
      </w:r>
      <w:r>
        <w:rPr>
          <w:rFonts w:hint="eastAsia" w:ascii="仿宋_GB2312" w:hAnsi="仿宋" w:eastAsia="仿宋_GB2312" w:cs="仿宋"/>
          <w:b/>
          <w:bCs/>
          <w:color w:val="333333"/>
          <w:sz w:val="32"/>
          <w:szCs w:val="32"/>
          <w:shd w:val="clear" w:color="auto" w:fill="FFFFFF"/>
        </w:rPr>
        <w:t>）区发展和改革委员会：</w:t>
      </w:r>
      <w:r>
        <w:rPr>
          <w:rFonts w:hint="eastAsia" w:ascii="仿宋_GB2312" w:hAnsi="仿宋" w:eastAsia="仿宋_GB2312" w:cs="仿宋"/>
          <w:color w:val="333333"/>
          <w:sz w:val="32"/>
          <w:szCs w:val="32"/>
          <w:shd w:val="clear" w:color="auto" w:fill="FFFFFF"/>
        </w:rPr>
        <w:t>积极争取灾后恢复重建项目资金，指导各地做好灾毁工程恢复重建项目的审批、核准等工作；负责指导全区油气长输管道的隐患排险和应急处置工作，督促管道沿线低温雨雪冰冻灾害监测和防范，切实维护管道设施安全。</w:t>
      </w:r>
    </w:p>
    <w:p w14:paraId="4B2733C5">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w:t>
      </w:r>
      <w:r>
        <w:rPr>
          <w:rFonts w:ascii="仿宋_GB2312" w:hAnsi="仿宋" w:eastAsia="仿宋_GB2312" w:cs="仿宋"/>
          <w:b/>
          <w:bCs/>
          <w:color w:val="333333"/>
          <w:sz w:val="32"/>
          <w:szCs w:val="32"/>
          <w:shd w:val="clear" w:color="auto" w:fill="FFFFFF"/>
        </w:rPr>
        <w:t>4</w:t>
      </w:r>
      <w:r>
        <w:rPr>
          <w:rFonts w:hint="eastAsia" w:ascii="仿宋_GB2312" w:hAnsi="仿宋" w:eastAsia="仿宋_GB2312" w:cs="仿宋"/>
          <w:b/>
          <w:bCs/>
          <w:color w:val="333333"/>
          <w:sz w:val="32"/>
          <w:szCs w:val="32"/>
          <w:shd w:val="clear" w:color="auto" w:fill="FFFFFF"/>
        </w:rPr>
        <w:t>）区教育局</w:t>
      </w:r>
      <w:r>
        <w:rPr>
          <w:rFonts w:hint="eastAsia" w:ascii="仿宋_GB2312" w:hAnsi="仿宋" w:eastAsia="仿宋_GB2312" w:cs="仿宋"/>
          <w:color w:val="333333"/>
          <w:sz w:val="32"/>
          <w:szCs w:val="32"/>
          <w:shd w:val="clear" w:color="auto" w:fill="FFFFFF"/>
        </w:rPr>
        <w:t>：负责部署、指导各级各类学校开展低温雨雪冰冻灾害知识宣传教育，指导各中心校根据避险需要，适时调整教学安排，保障在校师生生命安全；会同有关部门指导、督促各地区做好中小学校危房除险加固和因灾损毁校舍恢复重建工作，确保校舍安全；指导帮助受灾学校恢复正常教学秩序。</w:t>
      </w:r>
    </w:p>
    <w:p w14:paraId="39F9EDAD">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w:t>
      </w:r>
      <w:r>
        <w:rPr>
          <w:rFonts w:ascii="仿宋_GB2312" w:hAnsi="仿宋" w:eastAsia="仿宋_GB2312" w:cs="仿宋"/>
          <w:b/>
          <w:bCs/>
          <w:color w:val="333333"/>
          <w:sz w:val="32"/>
          <w:szCs w:val="32"/>
          <w:shd w:val="clear" w:color="auto" w:fill="FFFFFF"/>
        </w:rPr>
        <w:t>5</w:t>
      </w:r>
      <w:r>
        <w:rPr>
          <w:rFonts w:hint="eastAsia" w:ascii="仿宋_GB2312" w:hAnsi="仿宋" w:eastAsia="仿宋_GB2312" w:cs="仿宋"/>
          <w:b/>
          <w:bCs/>
          <w:color w:val="333333"/>
          <w:sz w:val="32"/>
          <w:szCs w:val="32"/>
          <w:shd w:val="clear" w:color="auto" w:fill="FFFFFF"/>
        </w:rPr>
        <w:t>）</w:t>
      </w:r>
      <w:r>
        <w:rPr>
          <w:rFonts w:hint="eastAsia" w:ascii="仿宋_GB2312" w:hAnsi="仿宋" w:eastAsia="仿宋_GB2312" w:cs="仿宋"/>
          <w:b/>
          <w:bCs/>
          <w:color w:val="333333"/>
          <w:sz w:val="32"/>
          <w:szCs w:val="32"/>
          <w:shd w:val="clear" w:color="auto" w:fill="FFFFFF"/>
          <w:lang w:eastAsia="zh-CN"/>
        </w:rPr>
        <w:t>区科技工业信息化局</w:t>
      </w:r>
      <w:r>
        <w:rPr>
          <w:rFonts w:hint="eastAsia" w:ascii="仿宋_GB2312" w:hAnsi="仿宋" w:eastAsia="仿宋_GB2312" w:cs="仿宋"/>
          <w:b/>
          <w:bCs/>
          <w:color w:val="333333"/>
          <w:sz w:val="32"/>
          <w:szCs w:val="32"/>
          <w:shd w:val="clear" w:color="auto" w:fill="FFFFFF"/>
        </w:rPr>
        <w:t>：</w:t>
      </w:r>
      <w:r>
        <w:rPr>
          <w:rFonts w:hint="eastAsia" w:ascii="仿宋_GB2312" w:hAnsi="仿宋" w:eastAsia="仿宋_GB2312" w:cs="仿宋"/>
          <w:color w:val="333333"/>
          <w:sz w:val="32"/>
          <w:szCs w:val="32"/>
          <w:shd w:val="clear" w:color="auto" w:fill="FFFFFF"/>
        </w:rPr>
        <w:t>负责组织有关部门对因灾受损的通信设施进行抢修，保障公用通信正常运行；指导灾后公用通信网的恢复重建工作。</w:t>
      </w:r>
    </w:p>
    <w:p w14:paraId="441FC8E9">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w:t>
      </w:r>
      <w:r>
        <w:rPr>
          <w:rFonts w:ascii="仿宋_GB2312" w:hAnsi="仿宋" w:eastAsia="仿宋_GB2312" w:cs="仿宋"/>
          <w:b/>
          <w:bCs/>
          <w:color w:val="333333"/>
          <w:sz w:val="32"/>
          <w:szCs w:val="32"/>
          <w:shd w:val="clear" w:color="auto" w:fill="FFFFFF"/>
        </w:rPr>
        <w:t>6</w:t>
      </w:r>
      <w:r>
        <w:rPr>
          <w:rFonts w:hint="eastAsia" w:ascii="仿宋_GB2312" w:hAnsi="仿宋" w:eastAsia="仿宋_GB2312" w:cs="仿宋"/>
          <w:b/>
          <w:bCs/>
          <w:color w:val="333333"/>
          <w:sz w:val="32"/>
          <w:szCs w:val="32"/>
          <w:shd w:val="clear" w:color="auto" w:fill="FFFFFF"/>
        </w:rPr>
        <w:t>）区民政局：</w:t>
      </w:r>
      <w:r>
        <w:rPr>
          <w:rFonts w:hint="eastAsia" w:ascii="仿宋_GB2312" w:hAnsi="仿宋" w:eastAsia="仿宋_GB2312" w:cs="仿宋"/>
          <w:color w:val="333333"/>
          <w:sz w:val="32"/>
          <w:szCs w:val="32"/>
          <w:shd w:val="clear" w:color="auto" w:fill="FFFFFF"/>
        </w:rPr>
        <w:t>低温雨雪冰冻天气时，加大街头流动救助巡查力度，劝导符合条件的流浪乞讨人员接受救助管理机构的救助服务；对老年公寓、福利院、敬老院等服务设施进行安全隐患排查；及时将符合临时救助或最低生活保障条件的受灾困难群众，按规定程序纳入保障范围。</w:t>
      </w:r>
    </w:p>
    <w:p w14:paraId="126B5BED">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w:t>
      </w:r>
      <w:r>
        <w:rPr>
          <w:rFonts w:ascii="仿宋_GB2312" w:hAnsi="仿宋" w:eastAsia="仿宋_GB2312" w:cs="仿宋"/>
          <w:b/>
          <w:bCs/>
          <w:color w:val="333333"/>
          <w:sz w:val="32"/>
          <w:szCs w:val="32"/>
          <w:shd w:val="clear" w:color="auto" w:fill="FFFFFF"/>
        </w:rPr>
        <w:t>7</w:t>
      </w:r>
      <w:r>
        <w:rPr>
          <w:rFonts w:hint="eastAsia" w:ascii="仿宋_GB2312" w:hAnsi="仿宋" w:eastAsia="仿宋_GB2312" w:cs="仿宋"/>
          <w:b/>
          <w:bCs/>
          <w:color w:val="333333"/>
          <w:sz w:val="32"/>
          <w:szCs w:val="32"/>
          <w:shd w:val="clear" w:color="auto" w:fill="FFFFFF"/>
        </w:rPr>
        <w:t>）区财政局：</w:t>
      </w:r>
      <w:r>
        <w:rPr>
          <w:rFonts w:hint="eastAsia" w:ascii="仿宋_GB2312" w:hAnsi="仿宋" w:eastAsia="仿宋_GB2312" w:cs="仿宋"/>
          <w:color w:val="333333"/>
          <w:sz w:val="32"/>
          <w:szCs w:val="32"/>
          <w:shd w:val="clear" w:color="auto" w:fill="FFFFFF"/>
        </w:rPr>
        <w:t>会同有关部门做好应急救灾资金筹集、拨付、管理和监督；协同有关部门向上级财政、应急部门申请救助补助资金。</w:t>
      </w:r>
    </w:p>
    <w:p w14:paraId="3BB25F4D">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w:t>
      </w:r>
      <w:r>
        <w:rPr>
          <w:rFonts w:ascii="仿宋_GB2312" w:hAnsi="仿宋" w:eastAsia="仿宋_GB2312" w:cs="仿宋"/>
          <w:b/>
          <w:bCs/>
          <w:color w:val="333333"/>
          <w:sz w:val="32"/>
          <w:szCs w:val="32"/>
          <w:shd w:val="clear" w:color="auto" w:fill="FFFFFF"/>
        </w:rPr>
        <w:t>8</w:t>
      </w:r>
      <w:r>
        <w:rPr>
          <w:rFonts w:hint="eastAsia" w:ascii="仿宋_GB2312" w:hAnsi="仿宋" w:eastAsia="仿宋_GB2312" w:cs="仿宋"/>
          <w:b/>
          <w:bCs/>
          <w:color w:val="333333"/>
          <w:sz w:val="32"/>
          <w:szCs w:val="32"/>
          <w:shd w:val="clear" w:color="auto" w:fill="FFFFFF"/>
        </w:rPr>
        <w:t>）区住房和城乡建设局：</w:t>
      </w:r>
      <w:r>
        <w:rPr>
          <w:rFonts w:hint="eastAsia" w:ascii="仿宋_GB2312" w:hAnsi="仿宋" w:eastAsia="仿宋_GB2312" w:cs="仿宋"/>
          <w:color w:val="333333"/>
          <w:sz w:val="32"/>
          <w:szCs w:val="32"/>
          <w:shd w:val="clear" w:color="auto" w:fill="FFFFFF"/>
        </w:rPr>
        <w:t>协调淮北市供水公司负责保障运营城市供水设施并负责抢修；协调华润燃气公司保障运营供气设施并负责抢修；协调供热设施的建设运营主体单位保障运营供热设施并负责抢修。</w:t>
      </w:r>
    </w:p>
    <w:p w14:paraId="44FEDC66">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w:t>
      </w:r>
      <w:r>
        <w:rPr>
          <w:rFonts w:ascii="仿宋_GB2312" w:hAnsi="仿宋" w:eastAsia="仿宋_GB2312" w:cs="仿宋"/>
          <w:b/>
          <w:bCs/>
          <w:color w:val="333333"/>
          <w:sz w:val="32"/>
          <w:szCs w:val="32"/>
          <w:shd w:val="clear" w:color="auto" w:fill="FFFFFF"/>
        </w:rPr>
        <w:t>9</w:t>
      </w:r>
      <w:r>
        <w:rPr>
          <w:rFonts w:hint="eastAsia" w:ascii="仿宋_GB2312" w:hAnsi="仿宋" w:eastAsia="仿宋_GB2312" w:cs="仿宋"/>
          <w:b/>
          <w:bCs/>
          <w:color w:val="333333"/>
          <w:sz w:val="32"/>
          <w:szCs w:val="32"/>
          <w:shd w:val="clear" w:color="auto" w:fill="FFFFFF"/>
        </w:rPr>
        <w:t>）区农业农村水利局：</w:t>
      </w:r>
      <w:r>
        <w:rPr>
          <w:rFonts w:hint="eastAsia" w:ascii="仿宋_GB2312" w:hAnsi="仿宋" w:eastAsia="仿宋_GB2312" w:cs="仿宋"/>
          <w:color w:val="333333"/>
          <w:sz w:val="32"/>
          <w:szCs w:val="32"/>
          <w:shd w:val="clear" w:color="auto" w:fill="FFFFFF"/>
        </w:rPr>
        <w:t>负责较强低温雨雪冰冻引发的农业灾害的预防和灾后农业生产恢复工作；及时了解掌握农业因灾害造成的损失情况，组织农技人员深入一线开展技术指导和服务，组织受灾群众开展生产自救。负责指导、协调做好水利工程及水利部门管理的相关供水设施的防冻工作，加强水利工程调度运行、监测和维护管理，做好因灾损毁水利工程的恢复重建，保障水利设施安全稳定运行和农村生产生活用水。</w:t>
      </w:r>
    </w:p>
    <w:p w14:paraId="0059FD37">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（1</w:t>
      </w:r>
      <w:r>
        <w:rPr>
          <w:rFonts w:ascii="仿宋_GB2312" w:hAnsi="仿宋" w:eastAsia="仿宋_GB2312" w:cs="仿宋"/>
          <w:b/>
          <w:bCs/>
          <w:color w:val="333333"/>
          <w:sz w:val="32"/>
          <w:szCs w:val="32"/>
          <w:shd w:val="clear" w:color="auto" w:fill="FFFFFF"/>
        </w:rPr>
        <w:t>0</w:t>
      </w:r>
      <w:r>
        <w:rPr>
          <w:rFonts w:hint="eastAsia" w:ascii="仿宋_GB2312" w:hAnsi="仿宋" w:eastAsia="仿宋_GB2312" w:cs="仿宋"/>
          <w:b/>
          <w:bCs/>
          <w:color w:val="333333"/>
          <w:sz w:val="32"/>
          <w:szCs w:val="32"/>
          <w:shd w:val="clear" w:color="auto" w:fill="FFFFFF"/>
        </w:rPr>
        <w:t>）区商务局：</w:t>
      </w:r>
      <w:r>
        <w:rPr>
          <w:rFonts w:hint="eastAsia" w:ascii="仿宋_GB2312" w:hAnsi="仿宋" w:eastAsia="仿宋_GB2312" w:cs="仿宋"/>
          <w:color w:val="333333"/>
          <w:sz w:val="32"/>
          <w:szCs w:val="32"/>
          <w:shd w:val="clear" w:color="auto" w:fill="FFFFFF"/>
        </w:rPr>
        <w:t>负责保障灾区肉、蛋、菜等重要生活必需品的供应，做好市场调控工作，负责协调成品油的市场供应。</w:t>
      </w:r>
    </w:p>
    <w:p w14:paraId="1753D763">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（1</w:t>
      </w:r>
      <w:r>
        <w:rPr>
          <w:rFonts w:ascii="仿宋_GB2312" w:hAnsi="仿宋" w:eastAsia="仿宋_GB2312" w:cs="仿宋"/>
          <w:b/>
          <w:bCs/>
          <w:color w:val="333333"/>
          <w:sz w:val="32"/>
          <w:szCs w:val="32"/>
          <w:shd w:val="clear" w:color="auto" w:fill="FFFFFF"/>
        </w:rPr>
        <w:t>1</w:t>
      </w:r>
      <w:r>
        <w:rPr>
          <w:rFonts w:hint="eastAsia" w:ascii="仿宋_GB2312" w:hAnsi="仿宋" w:eastAsia="仿宋_GB2312" w:cs="仿宋"/>
          <w:b/>
          <w:bCs/>
          <w:color w:val="333333"/>
          <w:sz w:val="32"/>
          <w:szCs w:val="32"/>
          <w:shd w:val="clear" w:color="auto" w:fill="FFFFFF"/>
        </w:rPr>
        <w:t>）区文化旅游体育局：</w:t>
      </w:r>
      <w:r>
        <w:rPr>
          <w:rFonts w:hint="eastAsia" w:ascii="仿宋_GB2312" w:hAnsi="仿宋" w:eastAsia="仿宋_GB2312" w:cs="仿宋"/>
          <w:color w:val="333333"/>
          <w:sz w:val="32"/>
          <w:szCs w:val="32"/>
          <w:shd w:val="clear" w:color="auto" w:fill="FFFFFF"/>
        </w:rPr>
        <w:t>会同相关部门做好文化、旅游、体育行业低温雨雪冰冻天气安全风险防范工作，做好公共场馆、景区人员疏散和重点文物保护工作；负责组织对雨雪冰冻灾害造成的广播设施设备损坏进行抢修保养，保障广播设施的安全，确保广播的安全播出；利用多种形式集中报道抗灾救灾中的感人事迹及好经验、好做法，弘扬正能量。</w:t>
      </w:r>
    </w:p>
    <w:p w14:paraId="067AB17C">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（1</w:t>
      </w:r>
      <w:r>
        <w:rPr>
          <w:rFonts w:ascii="仿宋_GB2312" w:hAnsi="仿宋" w:eastAsia="仿宋_GB2312" w:cs="仿宋"/>
          <w:b/>
          <w:bCs/>
          <w:color w:val="333333"/>
          <w:sz w:val="32"/>
          <w:szCs w:val="32"/>
          <w:shd w:val="clear" w:color="auto" w:fill="FFFFFF"/>
        </w:rPr>
        <w:t>2</w:t>
      </w:r>
      <w:r>
        <w:rPr>
          <w:rFonts w:hint="eastAsia" w:ascii="仿宋_GB2312" w:hAnsi="仿宋" w:eastAsia="仿宋_GB2312" w:cs="仿宋"/>
          <w:b/>
          <w:bCs/>
          <w:color w:val="333333"/>
          <w:sz w:val="32"/>
          <w:szCs w:val="32"/>
          <w:shd w:val="clear" w:color="auto" w:fill="FFFFFF"/>
        </w:rPr>
        <w:t>）区卫生健康委员会：</w:t>
      </w:r>
      <w:r>
        <w:rPr>
          <w:rFonts w:hint="eastAsia" w:ascii="仿宋_GB2312" w:hAnsi="仿宋" w:eastAsia="仿宋_GB2312" w:cs="仿宋"/>
          <w:color w:val="333333"/>
          <w:sz w:val="32"/>
          <w:szCs w:val="32"/>
          <w:shd w:val="clear" w:color="auto" w:fill="FFFFFF"/>
        </w:rPr>
        <w:t>负责做好医疗救灾工作准备，加强冬季易发病的宣传，做好流行病的预防和控制，组织协调医护人员对因灾伤病人员进行医疗卫生救援。</w:t>
      </w:r>
    </w:p>
    <w:p w14:paraId="2BF78C97">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（1</w:t>
      </w:r>
      <w:r>
        <w:rPr>
          <w:rFonts w:ascii="仿宋_GB2312" w:hAnsi="仿宋" w:eastAsia="仿宋_GB2312" w:cs="仿宋"/>
          <w:b/>
          <w:bCs/>
          <w:color w:val="333333"/>
          <w:sz w:val="32"/>
          <w:szCs w:val="32"/>
          <w:shd w:val="clear" w:color="auto" w:fill="FFFFFF"/>
        </w:rPr>
        <w:t>3</w:t>
      </w:r>
      <w:r>
        <w:rPr>
          <w:rFonts w:hint="eastAsia" w:ascii="仿宋_GB2312" w:hAnsi="仿宋" w:eastAsia="仿宋_GB2312" w:cs="仿宋"/>
          <w:b/>
          <w:bCs/>
          <w:color w:val="333333"/>
          <w:sz w:val="32"/>
          <w:szCs w:val="32"/>
          <w:shd w:val="clear" w:color="auto" w:fill="FFFFFF"/>
        </w:rPr>
        <w:t>）区市场监督管理局：</w:t>
      </w:r>
      <w:r>
        <w:rPr>
          <w:rFonts w:hint="eastAsia" w:ascii="仿宋_GB2312" w:hAnsi="仿宋" w:eastAsia="仿宋_GB2312" w:cs="仿宋"/>
          <w:color w:val="333333"/>
          <w:sz w:val="32"/>
          <w:szCs w:val="32"/>
          <w:shd w:val="clear" w:color="auto" w:fill="FFFFFF"/>
        </w:rPr>
        <w:t>负责灾区救灾物资和群众生活必需品价格监管；组织开展专项价格检查，打击价格违法行为；配合有关部门做好价格调控监管工作。负责组织开展灾区食品安全监管工作。</w:t>
      </w:r>
    </w:p>
    <w:p w14:paraId="52D93EC6">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（1</w:t>
      </w:r>
      <w:r>
        <w:rPr>
          <w:rFonts w:ascii="仿宋_GB2312" w:hAnsi="仿宋" w:eastAsia="仿宋_GB2312" w:cs="仿宋"/>
          <w:b/>
          <w:bCs/>
          <w:color w:val="333333"/>
          <w:sz w:val="32"/>
          <w:szCs w:val="32"/>
          <w:shd w:val="clear" w:color="auto" w:fill="FFFFFF"/>
        </w:rPr>
        <w:t>4</w:t>
      </w:r>
      <w:r>
        <w:rPr>
          <w:rFonts w:hint="eastAsia" w:ascii="仿宋_GB2312" w:hAnsi="仿宋" w:eastAsia="仿宋_GB2312" w:cs="仿宋"/>
          <w:b/>
          <w:bCs/>
          <w:color w:val="333333"/>
          <w:sz w:val="32"/>
          <w:szCs w:val="32"/>
          <w:shd w:val="clear" w:color="auto" w:fill="FFFFFF"/>
        </w:rPr>
        <w:t>）区应急管理局：</w:t>
      </w:r>
      <w:r>
        <w:rPr>
          <w:rFonts w:hint="eastAsia" w:ascii="仿宋_GB2312" w:hAnsi="仿宋" w:eastAsia="仿宋_GB2312" w:cs="仿宋"/>
          <w:color w:val="333333"/>
          <w:sz w:val="32"/>
          <w:szCs w:val="32"/>
          <w:shd w:val="clear" w:color="auto" w:fill="FFFFFF"/>
        </w:rPr>
        <w:t>负责组织对低温雨雪冰冻天气发展态势进行会商和综合研判，加强监测预警，提出应对建议，协助区委、区政府组织较大以上低温雨雪冰冻灾害应急处置工作，依法统一发布灾情，统一协调指挥各类应急专业队伍。协调联系市气象局获取气象信息，为启动和终止应急响应、组织抢险救灾提供决策依据和建议。</w:t>
      </w:r>
    </w:p>
    <w:p w14:paraId="734A0DA4">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w:t>
      </w:r>
      <w:r>
        <w:rPr>
          <w:rFonts w:ascii="仿宋_GB2312" w:hAnsi="仿宋" w:eastAsia="仿宋_GB2312" w:cs="仿宋"/>
          <w:b/>
          <w:bCs/>
          <w:color w:val="333333"/>
          <w:sz w:val="32"/>
          <w:szCs w:val="32"/>
          <w:shd w:val="clear" w:color="auto" w:fill="FFFFFF"/>
        </w:rPr>
        <w:t>15</w:t>
      </w:r>
      <w:r>
        <w:rPr>
          <w:rFonts w:hint="eastAsia" w:ascii="仿宋_GB2312" w:hAnsi="仿宋" w:eastAsia="仿宋_GB2312" w:cs="仿宋"/>
          <w:b/>
          <w:bCs/>
          <w:color w:val="333333"/>
          <w:sz w:val="32"/>
          <w:szCs w:val="32"/>
          <w:shd w:val="clear" w:color="auto" w:fill="FFFFFF"/>
        </w:rPr>
        <w:t>）区城市管理局：</w:t>
      </w:r>
      <w:r>
        <w:rPr>
          <w:rFonts w:hint="eastAsia" w:ascii="仿宋_GB2312" w:hAnsi="仿宋" w:eastAsia="仿宋_GB2312" w:cs="仿宋"/>
          <w:color w:val="333333"/>
          <w:sz w:val="32"/>
          <w:szCs w:val="32"/>
          <w:shd w:val="clear" w:color="auto" w:fill="FFFFFF"/>
        </w:rPr>
        <w:t>做好抢险救灾的准备工作，开展道路铲雪除冰工作。</w:t>
      </w:r>
    </w:p>
    <w:p w14:paraId="7AFA3300">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w:t>
      </w:r>
      <w:r>
        <w:rPr>
          <w:rFonts w:ascii="仿宋_GB2312" w:hAnsi="仿宋" w:eastAsia="仿宋_GB2312" w:cs="仿宋"/>
          <w:b/>
          <w:bCs/>
          <w:color w:val="333333"/>
          <w:sz w:val="32"/>
          <w:szCs w:val="32"/>
          <w:shd w:val="clear" w:color="auto" w:fill="FFFFFF"/>
        </w:rPr>
        <w:t>16</w:t>
      </w:r>
      <w:r>
        <w:rPr>
          <w:rFonts w:hint="eastAsia" w:ascii="仿宋_GB2312" w:hAnsi="仿宋" w:eastAsia="仿宋_GB2312" w:cs="仿宋"/>
          <w:b/>
          <w:bCs/>
          <w:color w:val="333333"/>
          <w:sz w:val="32"/>
          <w:szCs w:val="32"/>
          <w:shd w:val="clear" w:color="auto" w:fill="FFFFFF"/>
        </w:rPr>
        <w:t>）</w:t>
      </w:r>
      <w:r>
        <w:rPr>
          <w:rFonts w:hint="eastAsia" w:ascii="仿宋_GB2312" w:hAnsi="仿宋" w:eastAsia="仿宋_GB2312" w:cs="仿宋"/>
          <w:b/>
          <w:bCs/>
          <w:color w:val="333333"/>
          <w:sz w:val="32"/>
          <w:szCs w:val="32"/>
          <w:shd w:val="clear" w:color="auto" w:fill="FFFFFF"/>
          <w:lang w:eastAsia="zh-CN"/>
        </w:rPr>
        <w:t>淮北市公安局烈山分局</w:t>
      </w:r>
      <w:r>
        <w:rPr>
          <w:rFonts w:hint="eastAsia" w:ascii="仿宋_GB2312" w:hAnsi="仿宋" w:eastAsia="仿宋_GB2312" w:cs="仿宋"/>
          <w:b/>
          <w:bCs/>
          <w:color w:val="333333"/>
          <w:sz w:val="32"/>
          <w:szCs w:val="32"/>
          <w:shd w:val="clear" w:color="auto" w:fill="FFFFFF"/>
        </w:rPr>
        <w:t>：</w:t>
      </w:r>
      <w:r>
        <w:rPr>
          <w:rFonts w:hint="eastAsia" w:ascii="仿宋_GB2312" w:hAnsi="仿宋" w:eastAsia="仿宋_GB2312" w:cs="仿宋"/>
          <w:color w:val="333333"/>
          <w:sz w:val="32"/>
          <w:szCs w:val="32"/>
          <w:shd w:val="clear" w:color="auto" w:fill="FFFFFF"/>
        </w:rPr>
        <w:t>负责维护灾区社会治安秩序，保障灾区公共安全；在党委政府领导下，会同有关部门处置突发事件。</w:t>
      </w:r>
    </w:p>
    <w:p w14:paraId="6B8392E4">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w:t>
      </w:r>
      <w:r>
        <w:rPr>
          <w:rFonts w:ascii="仿宋_GB2312" w:hAnsi="仿宋" w:eastAsia="仿宋_GB2312" w:cs="仿宋"/>
          <w:b/>
          <w:bCs/>
          <w:color w:val="333333"/>
          <w:sz w:val="32"/>
          <w:szCs w:val="32"/>
          <w:shd w:val="clear" w:color="auto" w:fill="FFFFFF"/>
        </w:rPr>
        <w:t>17</w:t>
      </w:r>
      <w:r>
        <w:rPr>
          <w:rFonts w:hint="eastAsia" w:ascii="仿宋_GB2312" w:hAnsi="仿宋" w:eastAsia="仿宋_GB2312" w:cs="仿宋"/>
          <w:b/>
          <w:bCs/>
          <w:color w:val="333333"/>
          <w:sz w:val="32"/>
          <w:szCs w:val="32"/>
          <w:shd w:val="clear" w:color="auto" w:fill="FFFFFF"/>
        </w:rPr>
        <w:t>）</w:t>
      </w:r>
      <w:r>
        <w:rPr>
          <w:rFonts w:hint="eastAsia" w:ascii="仿宋_GB2312" w:hAnsi="仿宋" w:eastAsia="仿宋_GB2312" w:cs="仿宋"/>
          <w:b/>
          <w:bCs/>
          <w:color w:val="333333"/>
          <w:sz w:val="32"/>
          <w:szCs w:val="32"/>
          <w:shd w:val="clear" w:color="auto" w:fill="FFFFFF"/>
          <w:lang w:eastAsia="zh-CN"/>
        </w:rPr>
        <w:t>烈山交通管理大队</w:t>
      </w:r>
      <w:r>
        <w:rPr>
          <w:rFonts w:hint="eastAsia" w:ascii="仿宋_GB2312" w:hAnsi="仿宋" w:eastAsia="仿宋_GB2312" w:cs="仿宋"/>
          <w:b/>
          <w:bCs/>
          <w:color w:val="333333"/>
          <w:sz w:val="32"/>
          <w:szCs w:val="32"/>
          <w:shd w:val="clear" w:color="auto" w:fill="FFFFFF"/>
        </w:rPr>
        <w:t>：</w:t>
      </w:r>
      <w:r>
        <w:rPr>
          <w:rFonts w:hint="eastAsia" w:ascii="仿宋_GB2312" w:hAnsi="仿宋" w:eastAsia="仿宋_GB2312" w:cs="仿宋"/>
          <w:color w:val="333333"/>
          <w:sz w:val="32"/>
          <w:szCs w:val="32"/>
          <w:shd w:val="clear" w:color="auto" w:fill="FFFFFF"/>
        </w:rPr>
        <w:t>维护受灾路段交通秩序；及时疏导、分流滞留车辆，保障道路交通畅通；协助提供部分道路信息；遇有低温雨雪冰冻灾害时，视情况实行交通管制；</w:t>
      </w:r>
    </w:p>
    <w:p w14:paraId="31A71377">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（1</w:t>
      </w:r>
      <w:r>
        <w:rPr>
          <w:rFonts w:ascii="仿宋_GB2312" w:hAnsi="仿宋" w:eastAsia="仿宋_GB2312" w:cs="仿宋"/>
          <w:b/>
          <w:bCs/>
          <w:color w:val="333333"/>
          <w:sz w:val="32"/>
          <w:szCs w:val="32"/>
          <w:shd w:val="clear" w:color="auto" w:fill="FFFFFF"/>
        </w:rPr>
        <w:t>8</w:t>
      </w:r>
      <w:r>
        <w:rPr>
          <w:rFonts w:hint="eastAsia" w:ascii="仿宋_GB2312" w:hAnsi="仿宋" w:eastAsia="仿宋_GB2312" w:cs="仿宋"/>
          <w:b/>
          <w:bCs/>
          <w:color w:val="333333"/>
          <w:sz w:val="32"/>
          <w:szCs w:val="32"/>
          <w:shd w:val="clear" w:color="auto" w:fill="FFFFFF"/>
        </w:rPr>
        <w:t>）</w:t>
      </w:r>
      <w:r>
        <w:rPr>
          <w:rFonts w:hint="eastAsia" w:ascii="仿宋_GB2312" w:hAnsi="仿宋" w:eastAsia="仿宋_GB2312" w:cs="仿宋"/>
          <w:b/>
          <w:bCs/>
          <w:color w:val="333333"/>
          <w:sz w:val="32"/>
          <w:szCs w:val="32"/>
          <w:shd w:val="clear" w:color="auto" w:fill="FFFFFF"/>
          <w:lang w:eastAsia="zh-CN"/>
        </w:rPr>
        <w:t>淮北市自然资源和规划局烈山分局</w:t>
      </w:r>
      <w:r>
        <w:rPr>
          <w:rFonts w:hint="eastAsia" w:ascii="仿宋_GB2312" w:hAnsi="仿宋" w:eastAsia="仿宋_GB2312" w:cs="仿宋"/>
          <w:b/>
          <w:bCs/>
          <w:color w:val="333333"/>
          <w:sz w:val="32"/>
          <w:szCs w:val="32"/>
          <w:shd w:val="clear" w:color="auto" w:fill="FFFFFF"/>
        </w:rPr>
        <w:t>：</w:t>
      </w:r>
      <w:r>
        <w:rPr>
          <w:rFonts w:hint="eastAsia" w:ascii="仿宋_GB2312" w:hAnsi="仿宋" w:eastAsia="仿宋_GB2312" w:cs="仿宋"/>
          <w:color w:val="333333"/>
          <w:sz w:val="32"/>
          <w:szCs w:val="32"/>
          <w:shd w:val="clear" w:color="auto" w:fill="FFFFFF"/>
        </w:rPr>
        <w:t>负责组织因积雪融化可能引发地质灾害的监测预警，并对低温雨雪冰冻灾害引发的地质灾害发展趋势进行预测，提出应急防治措施建议；组织专业人员实施必要的应急防治工作，减少和排除灾害险情。负责查核、评估林业因灾损失情况；组织专家和林业技术人员提供技术指导和服务；组织林农开展生产自救，恢复林业生产。</w:t>
      </w:r>
    </w:p>
    <w:p w14:paraId="71A27F97">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w:t>
      </w:r>
      <w:r>
        <w:rPr>
          <w:rFonts w:ascii="仿宋_GB2312" w:hAnsi="仿宋" w:eastAsia="仿宋_GB2312" w:cs="仿宋"/>
          <w:b/>
          <w:bCs/>
          <w:color w:val="333333"/>
          <w:sz w:val="32"/>
          <w:szCs w:val="32"/>
          <w:shd w:val="clear" w:color="auto" w:fill="FFFFFF"/>
        </w:rPr>
        <w:t>19</w:t>
      </w:r>
      <w:r>
        <w:rPr>
          <w:rFonts w:hint="eastAsia" w:ascii="仿宋_GB2312" w:hAnsi="仿宋" w:eastAsia="仿宋_GB2312" w:cs="仿宋"/>
          <w:b/>
          <w:bCs/>
          <w:color w:val="333333"/>
          <w:sz w:val="32"/>
          <w:szCs w:val="32"/>
          <w:shd w:val="clear" w:color="auto" w:fill="FFFFFF"/>
        </w:rPr>
        <w:t>）区消防救援大队：</w:t>
      </w:r>
      <w:r>
        <w:rPr>
          <w:rFonts w:hint="eastAsia" w:ascii="仿宋_GB2312" w:hAnsi="仿宋" w:eastAsia="仿宋_GB2312" w:cs="仿宋"/>
          <w:color w:val="333333"/>
          <w:sz w:val="32"/>
          <w:szCs w:val="32"/>
          <w:shd w:val="clear" w:color="auto" w:fill="FFFFFF"/>
        </w:rPr>
        <w:t>负责组织消防救援队伍参与低温雨雪冰冻灾害事故应对处置，在确保执勤备战的前提下协助当地政府部门做好遇险群众救助。</w:t>
      </w:r>
    </w:p>
    <w:p w14:paraId="0205A903">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w:t>
      </w:r>
      <w:r>
        <w:rPr>
          <w:rFonts w:ascii="仿宋_GB2312" w:hAnsi="仿宋" w:eastAsia="仿宋_GB2312" w:cs="仿宋"/>
          <w:b/>
          <w:bCs/>
          <w:color w:val="333333"/>
          <w:sz w:val="32"/>
          <w:szCs w:val="32"/>
          <w:shd w:val="clear" w:color="auto" w:fill="FFFFFF"/>
        </w:rPr>
        <w:t>20</w:t>
      </w:r>
      <w:r>
        <w:rPr>
          <w:rFonts w:hint="eastAsia" w:ascii="仿宋_GB2312" w:hAnsi="仿宋" w:eastAsia="仿宋_GB2312" w:cs="仿宋"/>
          <w:b/>
          <w:bCs/>
          <w:color w:val="333333"/>
          <w:sz w:val="32"/>
          <w:szCs w:val="32"/>
          <w:shd w:val="clear" w:color="auto" w:fill="FFFFFF"/>
        </w:rPr>
        <w:t>）市道路运输管理服务中心烈山分中心：</w:t>
      </w:r>
      <w:r>
        <w:rPr>
          <w:rFonts w:hint="eastAsia" w:ascii="仿宋_GB2312" w:hAnsi="仿宋" w:eastAsia="仿宋_GB2312" w:cs="仿宋"/>
          <w:color w:val="333333"/>
          <w:sz w:val="32"/>
          <w:szCs w:val="32"/>
          <w:shd w:val="clear" w:color="auto" w:fill="FFFFFF"/>
        </w:rPr>
        <w:t>配合市交通运输部门协调组织高速公路经营单位调集人力和机械设备除雪铲冰，保障全区高速公路和国省道交通畅通；统计、报告高速公路和国省干道交通中断里程和公路、服务区、汽车站滞留人员数量；协助政府及有关部门向高速公路和国省干道、县乡道路上被困车辆及人员提供必要的应急救援及实施应急救援工作。</w:t>
      </w:r>
    </w:p>
    <w:p w14:paraId="2E3193F5">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（2</w:t>
      </w:r>
      <w:r>
        <w:rPr>
          <w:rFonts w:ascii="仿宋_GB2312" w:hAnsi="仿宋" w:eastAsia="仿宋_GB2312" w:cs="仿宋"/>
          <w:b/>
          <w:bCs/>
          <w:color w:val="333333"/>
          <w:sz w:val="32"/>
          <w:szCs w:val="32"/>
          <w:shd w:val="clear" w:color="auto" w:fill="FFFFFF"/>
        </w:rPr>
        <w:t>1</w:t>
      </w:r>
      <w:r>
        <w:rPr>
          <w:rFonts w:hint="eastAsia" w:ascii="仿宋_GB2312" w:hAnsi="仿宋" w:eastAsia="仿宋_GB2312" w:cs="仿宋"/>
          <w:b/>
          <w:bCs/>
          <w:color w:val="333333"/>
          <w:sz w:val="32"/>
          <w:szCs w:val="32"/>
          <w:shd w:val="clear" w:color="auto" w:fill="FFFFFF"/>
        </w:rPr>
        <w:t>）烈山供电部门：</w:t>
      </w:r>
      <w:r>
        <w:rPr>
          <w:rFonts w:hint="eastAsia" w:ascii="仿宋_GB2312" w:hAnsi="仿宋" w:eastAsia="仿宋_GB2312" w:cs="仿宋"/>
          <w:color w:val="333333"/>
          <w:sz w:val="32"/>
          <w:szCs w:val="32"/>
          <w:shd w:val="clear" w:color="auto" w:fill="FFFFFF"/>
        </w:rPr>
        <w:t>负责加强对市内电网的维护，及时组织专业人员清除电网线路杆塔上的冰凌和对受损电力设施进行抢修，全力保障电网正常运行，确保生产生活正常用电。</w:t>
      </w:r>
    </w:p>
    <w:p w14:paraId="4666946B">
      <w:pPr>
        <w:pStyle w:val="4"/>
        <w:keepNext w:val="0"/>
        <w:keepLines w:val="0"/>
        <w:pageBreakBefore w:val="0"/>
        <w:shd w:val="clear"/>
        <w:kinsoku/>
        <w:wordWrap/>
        <w:overflowPunct/>
        <w:topLinePunct w:val="0"/>
        <w:autoSpaceDE/>
        <w:autoSpaceDN/>
        <w:bidi w:val="0"/>
        <w:adjustRightInd/>
        <w:snapToGrid/>
        <w:spacing w:line="560" w:lineRule="exact"/>
        <w:ind w:firstLine="643"/>
        <w:jc w:val="both"/>
        <w:rPr>
          <w:rFonts w:hint="default"/>
          <w:lang w:val="en-US" w:eastAsia="zh-CN"/>
        </w:rPr>
      </w:pPr>
      <w:bookmarkStart w:id="17" w:name="_Toc5343"/>
      <w:bookmarkStart w:id="18" w:name="_Toc24885"/>
      <w:r>
        <w:rPr>
          <w:rFonts w:hint="eastAsia"/>
          <w:lang w:val="en-US" w:eastAsia="zh-CN"/>
        </w:rPr>
        <w:t>2.3区级以下指挥机构</w:t>
      </w:r>
      <w:bookmarkEnd w:id="17"/>
    </w:p>
    <w:p w14:paraId="3D8F34C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各镇（街道）、开发区党委政府负责统一指挥本辖区低温雨雪冰冻灾害防范应对工作，可根据需要设立应急指挥机构或建立统筹协调机制。</w:t>
      </w:r>
    </w:p>
    <w:p w14:paraId="0FCB6F8F">
      <w:pPr>
        <w:pStyle w:val="4"/>
        <w:keepNext w:val="0"/>
        <w:keepLines w:val="0"/>
        <w:pageBreakBefore w:val="0"/>
        <w:shd w:val="clear"/>
        <w:kinsoku/>
        <w:wordWrap/>
        <w:overflowPunct/>
        <w:topLinePunct w:val="0"/>
        <w:autoSpaceDE/>
        <w:autoSpaceDN/>
        <w:bidi w:val="0"/>
        <w:adjustRightInd/>
        <w:snapToGrid/>
        <w:spacing w:line="560" w:lineRule="exact"/>
        <w:ind w:firstLine="643"/>
        <w:jc w:val="both"/>
      </w:pPr>
      <w:bookmarkStart w:id="19" w:name="_Toc32765"/>
      <w:r>
        <w:rPr>
          <w:rFonts w:hint="eastAsia"/>
        </w:rPr>
        <w:t>2.4工作</w:t>
      </w:r>
      <w:bookmarkEnd w:id="18"/>
      <w:r>
        <w:rPr>
          <w:rFonts w:hint="eastAsia"/>
          <w:lang w:val="en-US" w:eastAsia="zh-CN"/>
        </w:rPr>
        <w:t>机制</w:t>
      </w:r>
      <w:bookmarkEnd w:id="19"/>
    </w:p>
    <w:p w14:paraId="5D35901C">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 w:eastAsia="仿宋_GB2312" w:cs="仿宋"/>
          <w:b/>
          <w:bCs/>
          <w:color w:val="333333"/>
          <w:sz w:val="32"/>
          <w:szCs w:val="32"/>
          <w:shd w:val="clear" w:color="auto" w:fill="FFFFFF"/>
          <w:lang w:val="en-US" w:eastAsia="zh-CN"/>
        </w:rPr>
      </w:pPr>
      <w:r>
        <w:rPr>
          <w:rFonts w:hint="eastAsia" w:ascii="仿宋_GB2312" w:hAnsi="仿宋" w:eastAsia="仿宋_GB2312" w:cs="仿宋"/>
          <w:b/>
          <w:bCs/>
          <w:color w:val="333333"/>
          <w:sz w:val="32"/>
          <w:szCs w:val="32"/>
          <w:shd w:val="clear" w:color="auto" w:fill="FFFFFF"/>
          <w:lang w:val="en-US" w:eastAsia="zh-CN"/>
        </w:rPr>
        <w:t>2.4.1日常联络机制</w:t>
      </w:r>
    </w:p>
    <w:p w14:paraId="2B27CFF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由</w:t>
      </w:r>
      <w:r>
        <w:rPr>
          <w:rFonts w:hint="eastAsia" w:ascii="仿宋_GB2312" w:hAnsi="仿宋" w:eastAsia="仿宋_GB2312" w:cs="仿宋"/>
          <w:color w:val="333333"/>
          <w:sz w:val="32"/>
          <w:szCs w:val="32"/>
          <w:shd w:val="clear" w:color="auto" w:fill="FFFFFF"/>
          <w:lang w:val="en-US" w:eastAsia="zh-CN"/>
        </w:rPr>
        <w:t>区安委会办公室</w:t>
      </w:r>
      <w:r>
        <w:rPr>
          <w:rFonts w:hint="eastAsia" w:ascii="仿宋_GB2312" w:hAnsi="仿宋" w:eastAsia="仿宋_GB2312" w:cs="仿宋"/>
          <w:color w:val="333333"/>
          <w:sz w:val="32"/>
          <w:szCs w:val="32"/>
          <w:shd w:val="clear" w:color="auto" w:fill="FFFFFF"/>
          <w:lang w:eastAsia="zh-CN"/>
        </w:rPr>
        <w:t>牵头，定期或不定期召开协调会议，贯彻落实省委、省政府，市委、市政府、市防灾减灾救灾委员会</w:t>
      </w:r>
      <w:r>
        <w:rPr>
          <w:rFonts w:hint="eastAsia" w:ascii="仿宋_GB2312" w:hAnsi="仿宋" w:eastAsia="仿宋_GB2312" w:cs="仿宋"/>
          <w:color w:val="333333"/>
          <w:sz w:val="32"/>
          <w:szCs w:val="32"/>
          <w:shd w:val="clear" w:color="auto" w:fill="FFFFFF"/>
          <w:lang w:val="en-US" w:eastAsia="zh-CN"/>
        </w:rPr>
        <w:t>及办公室和区</w:t>
      </w:r>
      <w:r>
        <w:rPr>
          <w:rFonts w:hint="eastAsia" w:ascii="仿宋_GB2312" w:hAnsi="仿宋" w:eastAsia="仿宋_GB2312" w:cs="仿宋"/>
          <w:color w:val="333333"/>
          <w:sz w:val="32"/>
          <w:szCs w:val="32"/>
          <w:shd w:val="clear" w:color="auto" w:fill="FFFFFF"/>
          <w:lang w:eastAsia="zh-CN"/>
        </w:rPr>
        <w:t>委、区政府及</w:t>
      </w:r>
      <w:r>
        <w:rPr>
          <w:rFonts w:hint="eastAsia" w:ascii="仿宋_GB2312" w:hAnsi="仿宋" w:eastAsia="仿宋_GB2312" w:cs="仿宋"/>
          <w:color w:val="333333"/>
          <w:sz w:val="32"/>
          <w:szCs w:val="32"/>
          <w:shd w:val="clear" w:color="auto" w:fill="FFFFFF"/>
          <w:lang w:val="en-US" w:eastAsia="zh-CN"/>
        </w:rPr>
        <w:t>区安委会</w:t>
      </w:r>
      <w:r>
        <w:rPr>
          <w:rFonts w:hint="eastAsia" w:ascii="仿宋_GB2312" w:hAnsi="仿宋" w:eastAsia="仿宋_GB2312" w:cs="仿宋"/>
          <w:color w:val="333333"/>
          <w:sz w:val="32"/>
          <w:szCs w:val="32"/>
          <w:shd w:val="clear" w:color="auto" w:fill="FFFFFF"/>
          <w:lang w:eastAsia="zh-CN"/>
        </w:rPr>
        <w:t>关于做好低温雨雪冰冻灾害防范应对的工作要求，研究重要事项，协调解决灾害防范和应对过程中的重大问题，指导督促有关部门（单位）和</w:t>
      </w:r>
      <w:r>
        <w:rPr>
          <w:rFonts w:hint="eastAsia" w:ascii="仿宋_GB2312" w:hAnsi="仿宋" w:eastAsia="仿宋_GB2312" w:cs="仿宋"/>
          <w:color w:val="333333"/>
          <w:sz w:val="32"/>
          <w:szCs w:val="32"/>
          <w:shd w:val="clear" w:color="auto" w:fill="FFFFFF"/>
          <w:lang w:val="en-US" w:eastAsia="zh-CN"/>
        </w:rPr>
        <w:t>镇（街道）</w:t>
      </w:r>
      <w:r>
        <w:rPr>
          <w:rFonts w:hint="eastAsia" w:ascii="仿宋_GB2312" w:hAnsi="仿宋" w:eastAsia="仿宋_GB2312" w:cs="仿宋"/>
          <w:color w:val="333333"/>
          <w:sz w:val="32"/>
          <w:szCs w:val="32"/>
          <w:shd w:val="clear" w:color="auto" w:fill="FFFFFF"/>
          <w:lang w:eastAsia="zh-CN"/>
        </w:rPr>
        <w:t>按照职能职责抓好责任落实，共同做好灾害防范应对工作。</w:t>
      </w:r>
    </w:p>
    <w:p w14:paraId="1C2E9E32">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 w:eastAsia="仿宋_GB2312" w:cs="仿宋"/>
          <w:b/>
          <w:bCs/>
          <w:color w:val="333333"/>
          <w:sz w:val="32"/>
          <w:szCs w:val="32"/>
          <w:shd w:val="clear" w:color="auto" w:fill="FFFFFF"/>
          <w:lang w:val="en-US" w:eastAsia="zh-CN"/>
        </w:rPr>
      </w:pPr>
      <w:r>
        <w:rPr>
          <w:rFonts w:hint="eastAsia" w:ascii="仿宋_GB2312" w:hAnsi="仿宋" w:eastAsia="仿宋_GB2312" w:cs="仿宋"/>
          <w:b/>
          <w:bCs/>
          <w:color w:val="333333"/>
          <w:sz w:val="32"/>
          <w:szCs w:val="32"/>
          <w:shd w:val="clear" w:color="auto" w:fill="FFFFFF"/>
          <w:lang w:val="en-US" w:eastAsia="zh-CN"/>
        </w:rPr>
        <w:t>2.4.2会商研判机制</w:t>
      </w:r>
    </w:p>
    <w:p w14:paraId="23E7BC6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（1）定期会商机制。每年11月底前，视情对全</w:t>
      </w:r>
      <w:r>
        <w:rPr>
          <w:rFonts w:hint="eastAsia" w:ascii="仿宋_GB2312" w:hAnsi="仿宋" w:eastAsia="仿宋_GB2312" w:cs="仿宋"/>
          <w:color w:val="333333"/>
          <w:sz w:val="32"/>
          <w:szCs w:val="32"/>
          <w:shd w:val="clear" w:color="auto" w:fill="FFFFFF"/>
          <w:lang w:val="en-US" w:eastAsia="zh-CN"/>
        </w:rPr>
        <w:t>区</w:t>
      </w:r>
      <w:r>
        <w:rPr>
          <w:rFonts w:hint="eastAsia" w:ascii="仿宋_GB2312" w:hAnsi="仿宋" w:eastAsia="仿宋_GB2312" w:cs="仿宋"/>
          <w:color w:val="333333"/>
          <w:sz w:val="32"/>
          <w:szCs w:val="32"/>
          <w:shd w:val="clear" w:color="auto" w:fill="FFFFFF"/>
          <w:lang w:eastAsia="zh-CN"/>
        </w:rPr>
        <w:t>冬季低温雨雪冰冻灾害趋势进行会商研判，编制综合分析报告并向有关部门（单位）和各</w:t>
      </w:r>
      <w:r>
        <w:rPr>
          <w:rFonts w:hint="eastAsia" w:ascii="仿宋_GB2312" w:hAnsi="仿宋" w:eastAsia="仿宋_GB2312" w:cs="仿宋"/>
          <w:color w:val="333333"/>
          <w:sz w:val="32"/>
          <w:szCs w:val="32"/>
          <w:shd w:val="clear" w:color="auto" w:fill="FFFFFF"/>
          <w:lang w:val="en-US" w:eastAsia="zh-CN"/>
        </w:rPr>
        <w:t>镇（街道）</w:t>
      </w:r>
      <w:r>
        <w:rPr>
          <w:rFonts w:hint="eastAsia" w:ascii="仿宋_GB2312" w:hAnsi="仿宋" w:eastAsia="仿宋_GB2312" w:cs="仿宋"/>
          <w:color w:val="333333"/>
          <w:sz w:val="32"/>
          <w:szCs w:val="32"/>
          <w:shd w:val="clear" w:color="auto" w:fill="FFFFFF"/>
          <w:lang w:eastAsia="zh-CN"/>
        </w:rPr>
        <w:t>发送；每年11月至次年2月，每月月末对下月低温雨雪冰冻灾害趋势进行会商研判，编制分析报告并向有关部门（单位）和各</w:t>
      </w:r>
      <w:r>
        <w:rPr>
          <w:rFonts w:hint="eastAsia" w:ascii="仿宋_GB2312" w:hAnsi="仿宋" w:eastAsia="仿宋_GB2312" w:cs="仿宋"/>
          <w:color w:val="333333"/>
          <w:sz w:val="32"/>
          <w:szCs w:val="32"/>
          <w:shd w:val="clear" w:color="auto" w:fill="FFFFFF"/>
          <w:lang w:val="en-US" w:eastAsia="zh-CN"/>
        </w:rPr>
        <w:t>镇（街道）</w:t>
      </w:r>
      <w:r>
        <w:rPr>
          <w:rFonts w:hint="eastAsia" w:ascii="仿宋_GB2312" w:hAnsi="仿宋" w:eastAsia="仿宋_GB2312" w:cs="仿宋"/>
          <w:color w:val="333333"/>
          <w:sz w:val="32"/>
          <w:szCs w:val="32"/>
          <w:shd w:val="clear" w:color="auto" w:fill="FFFFFF"/>
          <w:lang w:eastAsia="zh-CN"/>
        </w:rPr>
        <w:t>发送。</w:t>
      </w:r>
    </w:p>
    <w:p w14:paraId="0FE0E70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（2）预警会商机制。当</w:t>
      </w:r>
      <w:r>
        <w:rPr>
          <w:rFonts w:hint="eastAsia" w:ascii="仿宋_GB2312" w:hAnsi="仿宋" w:eastAsia="仿宋_GB2312" w:cs="仿宋"/>
          <w:color w:val="333333"/>
          <w:sz w:val="32"/>
          <w:szCs w:val="32"/>
          <w:shd w:val="clear" w:color="auto" w:fill="FFFFFF"/>
          <w:lang w:val="en-US" w:eastAsia="zh-CN"/>
        </w:rPr>
        <w:t>市</w:t>
      </w:r>
      <w:r>
        <w:rPr>
          <w:rFonts w:hint="eastAsia" w:ascii="仿宋_GB2312" w:hAnsi="仿宋" w:eastAsia="仿宋_GB2312" w:cs="仿宋"/>
          <w:color w:val="333333"/>
          <w:sz w:val="32"/>
          <w:szCs w:val="32"/>
          <w:shd w:val="clear" w:color="auto" w:fill="FFFFFF"/>
          <w:lang w:eastAsia="zh-CN"/>
        </w:rPr>
        <w:t>气象局发布低温雨雪冰冻天气预警时，各相关部门（单位）按照职能职责做好防范应对工作。</w:t>
      </w:r>
      <w:r>
        <w:rPr>
          <w:rFonts w:hint="eastAsia" w:ascii="仿宋_GB2312" w:hAnsi="仿宋" w:eastAsia="仿宋_GB2312" w:cs="仿宋"/>
          <w:color w:val="333333"/>
          <w:sz w:val="32"/>
          <w:szCs w:val="32"/>
          <w:shd w:val="clear" w:color="auto" w:fill="FFFFFF"/>
          <w:lang w:val="en-US" w:eastAsia="zh-CN"/>
        </w:rPr>
        <w:t>区安委会办公室</w:t>
      </w:r>
      <w:r>
        <w:rPr>
          <w:rFonts w:hint="eastAsia" w:ascii="仿宋_GB2312" w:hAnsi="仿宋" w:eastAsia="仿宋_GB2312" w:cs="仿宋"/>
          <w:color w:val="333333"/>
          <w:sz w:val="32"/>
          <w:szCs w:val="32"/>
          <w:shd w:val="clear" w:color="auto" w:fill="FFFFFF"/>
          <w:lang w:eastAsia="zh-CN"/>
        </w:rPr>
        <w:t>视情组织相关成员单位和</w:t>
      </w:r>
      <w:r>
        <w:rPr>
          <w:rFonts w:hint="eastAsia" w:ascii="仿宋_GB2312" w:hAnsi="仿宋" w:eastAsia="仿宋_GB2312" w:cs="仿宋"/>
          <w:color w:val="333333"/>
          <w:sz w:val="32"/>
          <w:szCs w:val="32"/>
          <w:shd w:val="clear" w:color="auto" w:fill="FFFFFF"/>
          <w:lang w:val="en-US" w:eastAsia="zh-CN"/>
        </w:rPr>
        <w:t>镇（街道）</w:t>
      </w:r>
      <w:r>
        <w:rPr>
          <w:rFonts w:hint="eastAsia" w:ascii="仿宋_GB2312" w:hAnsi="仿宋" w:eastAsia="仿宋_GB2312" w:cs="仿宋"/>
          <w:color w:val="333333"/>
          <w:sz w:val="32"/>
          <w:szCs w:val="32"/>
          <w:shd w:val="clear" w:color="auto" w:fill="FFFFFF"/>
          <w:lang w:eastAsia="zh-CN"/>
        </w:rPr>
        <w:t>开展会商研判，安排布置防范应对工作。</w:t>
      </w:r>
    </w:p>
    <w:p w14:paraId="44D2040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（3）灾中研判机制。灾害发生后，</w:t>
      </w:r>
      <w:r>
        <w:rPr>
          <w:rFonts w:hint="eastAsia" w:ascii="仿宋_GB2312" w:hAnsi="仿宋" w:eastAsia="仿宋_GB2312" w:cs="仿宋"/>
          <w:color w:val="333333"/>
          <w:sz w:val="32"/>
          <w:szCs w:val="32"/>
          <w:shd w:val="clear" w:color="auto" w:fill="FFFFFF"/>
          <w:lang w:val="en-US" w:eastAsia="zh-CN"/>
        </w:rPr>
        <w:t>区安委会办公室</w:t>
      </w:r>
      <w:r>
        <w:rPr>
          <w:rFonts w:hint="eastAsia" w:ascii="仿宋_GB2312" w:hAnsi="仿宋" w:eastAsia="仿宋_GB2312" w:cs="仿宋"/>
          <w:color w:val="333333"/>
          <w:sz w:val="32"/>
          <w:szCs w:val="32"/>
          <w:shd w:val="clear" w:color="auto" w:fill="FFFFFF"/>
          <w:lang w:eastAsia="zh-CN"/>
        </w:rPr>
        <w:t>组织相关成员单位和</w:t>
      </w:r>
      <w:r>
        <w:rPr>
          <w:rFonts w:hint="eastAsia" w:ascii="仿宋_GB2312" w:hAnsi="仿宋" w:eastAsia="仿宋_GB2312" w:cs="仿宋"/>
          <w:color w:val="333333"/>
          <w:sz w:val="32"/>
          <w:szCs w:val="32"/>
          <w:shd w:val="clear" w:color="auto" w:fill="FFFFFF"/>
          <w:lang w:val="en-US" w:eastAsia="zh-CN"/>
        </w:rPr>
        <w:t>镇（街道）</w:t>
      </w:r>
      <w:r>
        <w:rPr>
          <w:rFonts w:hint="eastAsia" w:ascii="仿宋_GB2312" w:hAnsi="仿宋" w:eastAsia="仿宋_GB2312" w:cs="仿宋"/>
          <w:color w:val="333333"/>
          <w:sz w:val="32"/>
          <w:szCs w:val="32"/>
          <w:shd w:val="clear" w:color="auto" w:fill="FFFFFF"/>
          <w:lang w:eastAsia="zh-CN"/>
        </w:rPr>
        <w:t>分析研判灾情，了解应对处置情况，研究部署应对处置工作。</w:t>
      </w:r>
    </w:p>
    <w:p w14:paraId="140B6634">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 w:eastAsia="仿宋_GB2312" w:cs="仿宋"/>
          <w:b/>
          <w:bCs/>
          <w:color w:val="333333"/>
          <w:sz w:val="32"/>
          <w:szCs w:val="32"/>
          <w:shd w:val="clear" w:color="auto" w:fill="FFFFFF"/>
          <w:lang w:val="en-US" w:eastAsia="zh-CN"/>
        </w:rPr>
      </w:pPr>
      <w:r>
        <w:rPr>
          <w:rFonts w:hint="eastAsia" w:ascii="仿宋_GB2312" w:hAnsi="仿宋" w:eastAsia="仿宋_GB2312" w:cs="仿宋"/>
          <w:b/>
          <w:bCs/>
          <w:color w:val="333333"/>
          <w:sz w:val="32"/>
          <w:szCs w:val="32"/>
          <w:shd w:val="clear" w:color="auto" w:fill="FFFFFF"/>
          <w:lang w:val="en-US" w:eastAsia="zh-CN"/>
        </w:rPr>
        <w:t>2.4.3灾情报送机制</w:t>
      </w:r>
    </w:p>
    <w:p w14:paraId="584B0D3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（1）灾情报送原则。</w:t>
      </w:r>
    </w:p>
    <w:p w14:paraId="699AEBE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低温雨雪冰冻灾害信息报送和处理应遵循及时快捷、真实全面的原则，险情、灾情等相关信息实行分级上报、归口处理、同级共享。</w:t>
      </w:r>
    </w:p>
    <w:p w14:paraId="56FD71A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遇到突发险情、灾情，灾区各部门（单位）应立即按行业归口收集处理信息，及时向本级防灾减灾救灾议事协调机构和上级部门报送，并持续跟踪了解和掌握险情、灾情动态，做好续报工作，原则上以书面形式逐级上报，重大险情、灾情可越级报告。</w:t>
      </w:r>
    </w:p>
    <w:p w14:paraId="74B00D8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区安委会办公室接到重大险情、灾情报告后，应立即报告市安全生产（防灾减灾救灾）委员会办公室、市应急管理</w:t>
      </w:r>
      <w:r>
        <w:rPr>
          <w:rFonts w:hint="eastAsia" w:ascii="仿宋_GB2312" w:hAnsi="仿宋" w:eastAsia="仿宋_GB2312" w:cs="仿宋"/>
          <w:color w:val="333333"/>
          <w:sz w:val="32"/>
          <w:szCs w:val="32"/>
          <w:shd w:val="clear" w:color="auto" w:fill="FFFFFF"/>
          <w:lang w:val="en-US" w:eastAsia="zh-CN"/>
        </w:rPr>
        <w:t>局和区</w:t>
      </w:r>
      <w:r>
        <w:rPr>
          <w:rFonts w:hint="eastAsia" w:ascii="仿宋_GB2312" w:hAnsi="仿宋" w:eastAsia="仿宋_GB2312" w:cs="仿宋"/>
          <w:color w:val="333333"/>
          <w:sz w:val="32"/>
          <w:szCs w:val="32"/>
          <w:shd w:val="clear" w:color="auto" w:fill="FFFFFF"/>
          <w:lang w:eastAsia="zh-CN"/>
        </w:rPr>
        <w:t>委、</w:t>
      </w:r>
      <w:r>
        <w:rPr>
          <w:rFonts w:hint="eastAsia" w:ascii="仿宋_GB2312" w:hAnsi="仿宋" w:eastAsia="仿宋_GB2312" w:cs="仿宋"/>
          <w:color w:val="333333"/>
          <w:sz w:val="32"/>
          <w:szCs w:val="32"/>
          <w:shd w:val="clear" w:color="auto" w:fill="FFFFFF"/>
          <w:lang w:val="en-US" w:eastAsia="zh-CN"/>
        </w:rPr>
        <w:t>区</w:t>
      </w:r>
      <w:r>
        <w:rPr>
          <w:rFonts w:hint="eastAsia" w:ascii="仿宋_GB2312" w:hAnsi="仿宋" w:eastAsia="仿宋_GB2312" w:cs="仿宋"/>
          <w:color w:val="333333"/>
          <w:sz w:val="32"/>
          <w:szCs w:val="32"/>
          <w:shd w:val="clear" w:color="auto" w:fill="FFFFFF"/>
          <w:lang w:eastAsia="zh-CN"/>
        </w:rPr>
        <w:t>政府，并做好续报工作。</w:t>
      </w:r>
    </w:p>
    <w:p w14:paraId="6F9EBA7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2）灾情报送内容。灾情报告的基本要素包括：灾害发生时间、范围、强度和趋势，因灾导致死亡、失踪、受伤、受影响和已转移安置的人数，抢险救援力量出动和其他已采取的措施，农牧渔林业等受灾情况，旅游者滞留人数和时间，房屋倒塌及严重损坏情况，交通、电力、通信等重要设施损坏情况等。</w:t>
      </w:r>
    </w:p>
    <w:p w14:paraId="4FB8519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（3）灾情报送时限。</w:t>
      </w:r>
      <w:r>
        <w:rPr>
          <w:rFonts w:hint="eastAsia" w:ascii="仿宋_GB2312" w:hAnsi="仿宋" w:eastAsia="仿宋_GB2312" w:cs="仿宋"/>
          <w:color w:val="333333"/>
          <w:sz w:val="32"/>
          <w:szCs w:val="32"/>
          <w:shd w:val="clear" w:color="auto" w:fill="FFFFFF"/>
          <w:lang w:val="en-US" w:eastAsia="zh-CN"/>
        </w:rPr>
        <w:t>受灾镇（街道）</w:t>
      </w:r>
      <w:r>
        <w:rPr>
          <w:rFonts w:hint="eastAsia" w:ascii="仿宋_GB2312" w:hAnsi="仿宋" w:eastAsia="仿宋_GB2312" w:cs="仿宋"/>
          <w:color w:val="333333"/>
          <w:sz w:val="32"/>
          <w:szCs w:val="32"/>
          <w:shd w:val="clear" w:color="auto" w:fill="FFFFFF"/>
          <w:lang w:eastAsia="zh-CN"/>
        </w:rPr>
        <w:t>和相关部门（单位），接报后及时向上级机构报告，并根据事态进展，续报应对处置等有关情况，应急响应终止后提交终报。</w:t>
      </w:r>
    </w:p>
    <w:p w14:paraId="1188A5DD">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 w:eastAsia="仿宋_GB2312" w:cs="仿宋"/>
          <w:b/>
          <w:bCs/>
          <w:color w:val="333333"/>
          <w:sz w:val="32"/>
          <w:szCs w:val="32"/>
          <w:shd w:val="clear" w:color="auto" w:fill="FFFFFF"/>
          <w:lang w:val="en-US" w:eastAsia="zh-CN"/>
        </w:rPr>
      </w:pPr>
      <w:r>
        <w:rPr>
          <w:rFonts w:hint="eastAsia" w:ascii="仿宋_GB2312" w:hAnsi="仿宋" w:eastAsia="仿宋_GB2312" w:cs="仿宋"/>
          <w:b/>
          <w:bCs/>
          <w:color w:val="333333"/>
          <w:sz w:val="32"/>
          <w:szCs w:val="32"/>
          <w:shd w:val="clear" w:color="auto" w:fill="FFFFFF"/>
          <w:lang w:val="en-US" w:eastAsia="zh-CN"/>
        </w:rPr>
        <w:t>2.4.4信息发布机制</w:t>
      </w:r>
    </w:p>
    <w:p w14:paraId="6658BD9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（1）信息发布原则。及时、客观、准确向社会发布低温雨雪冰冻灾情和防范应对工作信息，回应社会关切。</w:t>
      </w:r>
    </w:p>
    <w:p w14:paraId="0761F35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（2）分级发布机制。区安委会办公室统一发布</w:t>
      </w:r>
      <w:r>
        <w:rPr>
          <w:rFonts w:hint="eastAsia" w:ascii="仿宋_GB2312" w:hAnsi="仿宋" w:eastAsia="仿宋_GB2312" w:cs="仿宋"/>
          <w:color w:val="333333"/>
          <w:sz w:val="32"/>
          <w:szCs w:val="32"/>
          <w:shd w:val="clear" w:color="auto" w:fill="FFFFFF"/>
          <w:lang w:val="en-US" w:eastAsia="zh-CN"/>
        </w:rPr>
        <w:t>较大</w:t>
      </w:r>
      <w:r>
        <w:rPr>
          <w:rFonts w:hint="eastAsia" w:ascii="仿宋_GB2312" w:hAnsi="仿宋" w:eastAsia="仿宋_GB2312" w:cs="仿宋"/>
          <w:color w:val="333333"/>
          <w:sz w:val="32"/>
          <w:szCs w:val="32"/>
          <w:shd w:val="clear" w:color="auto" w:fill="FFFFFF"/>
          <w:lang w:eastAsia="zh-CN"/>
        </w:rPr>
        <w:t>及以上低温雨雪冰冻灾害信息，重要信息发布前，由区安委会办公室牵头商有关部门共同审核，并征求</w:t>
      </w:r>
      <w:r>
        <w:rPr>
          <w:rFonts w:hint="eastAsia" w:ascii="仿宋_GB2312" w:hAnsi="仿宋" w:eastAsia="仿宋_GB2312" w:cs="仿宋"/>
          <w:color w:val="333333"/>
          <w:sz w:val="32"/>
          <w:szCs w:val="32"/>
          <w:shd w:val="clear" w:color="auto" w:fill="FFFFFF"/>
          <w:lang w:val="en-US" w:eastAsia="zh-CN"/>
        </w:rPr>
        <w:t>区</w:t>
      </w:r>
      <w:r>
        <w:rPr>
          <w:rFonts w:hint="eastAsia" w:ascii="仿宋_GB2312" w:hAnsi="仿宋" w:eastAsia="仿宋_GB2312" w:cs="仿宋"/>
          <w:color w:val="333333"/>
          <w:sz w:val="32"/>
          <w:szCs w:val="32"/>
          <w:shd w:val="clear" w:color="auto" w:fill="FFFFFF"/>
          <w:lang w:eastAsia="zh-CN"/>
        </w:rPr>
        <w:t>委宣传部意见后，由</w:t>
      </w:r>
      <w:r>
        <w:rPr>
          <w:rFonts w:hint="eastAsia" w:ascii="仿宋_GB2312" w:hAnsi="仿宋" w:eastAsia="仿宋_GB2312" w:cs="仿宋"/>
          <w:color w:val="333333"/>
          <w:sz w:val="32"/>
          <w:szCs w:val="32"/>
          <w:shd w:val="clear" w:color="auto" w:fill="FFFFFF"/>
          <w:lang w:val="en-US" w:eastAsia="zh-CN"/>
        </w:rPr>
        <w:t>区安委会</w:t>
      </w:r>
      <w:r>
        <w:rPr>
          <w:rFonts w:hint="eastAsia" w:ascii="仿宋_GB2312" w:hAnsi="仿宋" w:eastAsia="仿宋_GB2312" w:cs="仿宋"/>
          <w:color w:val="333333"/>
          <w:sz w:val="32"/>
          <w:szCs w:val="32"/>
          <w:shd w:val="clear" w:color="auto" w:fill="FFFFFF"/>
          <w:lang w:eastAsia="zh-CN"/>
        </w:rPr>
        <w:t>主任或主任委托有关</w:t>
      </w:r>
      <w:r>
        <w:rPr>
          <w:rFonts w:hint="eastAsia" w:ascii="仿宋_GB2312" w:hAnsi="仿宋" w:eastAsia="仿宋_GB2312" w:cs="仿宋"/>
          <w:color w:val="333333"/>
          <w:sz w:val="32"/>
          <w:szCs w:val="32"/>
          <w:shd w:val="clear" w:color="auto" w:fill="FFFFFF"/>
          <w:lang w:val="en-US" w:eastAsia="zh-CN"/>
        </w:rPr>
        <w:t>区</w:t>
      </w:r>
      <w:r>
        <w:rPr>
          <w:rFonts w:hint="eastAsia" w:ascii="仿宋_GB2312" w:hAnsi="仿宋" w:eastAsia="仿宋_GB2312" w:cs="仿宋"/>
          <w:color w:val="333333"/>
          <w:sz w:val="32"/>
          <w:szCs w:val="32"/>
          <w:shd w:val="clear" w:color="auto" w:fill="FFFFFF"/>
          <w:lang w:eastAsia="zh-CN"/>
        </w:rPr>
        <w:t>领导审签后发布。一般低温雨雪冰冻灾害信息由受灾</w:t>
      </w:r>
      <w:r>
        <w:rPr>
          <w:rFonts w:hint="eastAsia" w:ascii="仿宋_GB2312" w:hAnsi="仿宋" w:eastAsia="仿宋_GB2312" w:cs="仿宋"/>
          <w:color w:val="333333"/>
          <w:sz w:val="32"/>
          <w:szCs w:val="32"/>
          <w:shd w:val="clear" w:color="auto" w:fill="FFFFFF"/>
          <w:lang w:val="en-US" w:eastAsia="zh-CN"/>
        </w:rPr>
        <w:t>镇（街道）</w:t>
      </w:r>
      <w:r>
        <w:rPr>
          <w:rFonts w:hint="eastAsia" w:ascii="仿宋_GB2312" w:hAnsi="仿宋" w:eastAsia="仿宋_GB2312" w:cs="仿宋"/>
          <w:color w:val="333333"/>
          <w:sz w:val="32"/>
          <w:szCs w:val="32"/>
          <w:shd w:val="clear" w:color="auto" w:fill="FFFFFF"/>
          <w:lang w:eastAsia="zh-CN"/>
        </w:rPr>
        <w:t>发布。</w:t>
      </w:r>
    </w:p>
    <w:p w14:paraId="023FDC6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lang w:eastAsia="zh-CN"/>
        </w:rPr>
        <w:t>（3）加强舆论引导。深入报道各级党委政府决策部署和抢险救援救灾工作进展，大力宣传先进模范和典型事迹，为低温雨雪冰冻灾害防范应对营造良好的舆论氛围。</w:t>
      </w:r>
    </w:p>
    <w:p w14:paraId="339E7BCB">
      <w:pPr>
        <w:pStyle w:val="4"/>
        <w:keepNext w:val="0"/>
        <w:keepLines w:val="0"/>
        <w:pageBreakBefore w:val="0"/>
        <w:widowControl w:val="0"/>
        <w:shd w:val="clear"/>
        <w:kinsoku/>
        <w:wordWrap/>
        <w:overflowPunct/>
        <w:topLinePunct w:val="0"/>
        <w:autoSpaceDE/>
        <w:autoSpaceDN/>
        <w:bidi w:val="0"/>
        <w:adjustRightInd/>
        <w:snapToGrid/>
        <w:spacing w:line="560" w:lineRule="exact"/>
        <w:ind w:firstLine="643"/>
        <w:jc w:val="both"/>
        <w:textAlignment w:val="auto"/>
      </w:pPr>
      <w:bookmarkStart w:id="20" w:name="_Toc1793"/>
      <w:bookmarkStart w:id="21" w:name="_Toc6055"/>
      <w:r>
        <w:rPr>
          <w:rFonts w:hint="eastAsia"/>
        </w:rPr>
        <w:t>2.5专家组</w:t>
      </w:r>
      <w:bookmarkEnd w:id="20"/>
      <w:bookmarkEnd w:id="21"/>
    </w:p>
    <w:p w14:paraId="61FFF2B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设立专家组，对全区低温雨雪冰冻灾害防范应对工作重大决策和重要规划提供政策咨询和建议，为全区低温雨雪冰冻灾害的灾情评估、应急救助和灾后恢复重建提出咨询意见。</w:t>
      </w:r>
    </w:p>
    <w:p w14:paraId="330F1366">
      <w:pPr>
        <w:pStyle w:val="3"/>
        <w:keepNext w:val="0"/>
        <w:keepLines w:val="0"/>
        <w:pageBreakBefore w:val="0"/>
        <w:widowControl w:val="0"/>
        <w:shd w:val="clear"/>
        <w:kinsoku/>
        <w:wordWrap/>
        <w:overflowPunct/>
        <w:topLinePunct w:val="0"/>
        <w:autoSpaceDE/>
        <w:autoSpaceDN/>
        <w:bidi w:val="0"/>
        <w:adjustRightInd/>
        <w:snapToGrid/>
        <w:spacing w:line="560" w:lineRule="exact"/>
        <w:ind w:firstLine="640"/>
        <w:jc w:val="both"/>
        <w:textAlignment w:val="auto"/>
        <w:rPr>
          <w:rFonts w:hint="default" w:eastAsia="黑体"/>
          <w:lang w:val="en-US" w:eastAsia="zh-CN"/>
        </w:rPr>
      </w:pPr>
      <w:bookmarkStart w:id="22" w:name="_Toc5110"/>
      <w:bookmarkStart w:id="23" w:name="_Toc29708"/>
      <w:r>
        <w:rPr>
          <w:rFonts w:hint="eastAsia"/>
        </w:rPr>
        <w:t>3</w:t>
      </w:r>
      <w:bookmarkEnd w:id="22"/>
      <w:r>
        <w:rPr>
          <w:rFonts w:hint="eastAsia"/>
          <w:lang w:val="en-US" w:eastAsia="zh-CN"/>
        </w:rPr>
        <w:t>预防与监测预警</w:t>
      </w:r>
      <w:bookmarkEnd w:id="23"/>
    </w:p>
    <w:p w14:paraId="62935667">
      <w:pPr>
        <w:pStyle w:val="4"/>
        <w:keepNext w:val="0"/>
        <w:keepLines w:val="0"/>
        <w:pageBreakBefore w:val="0"/>
        <w:widowControl w:val="0"/>
        <w:shd w:val="clear"/>
        <w:kinsoku/>
        <w:wordWrap/>
        <w:overflowPunct/>
        <w:topLinePunct w:val="0"/>
        <w:autoSpaceDE/>
        <w:autoSpaceDN/>
        <w:bidi w:val="0"/>
        <w:adjustRightInd/>
        <w:snapToGrid/>
        <w:spacing w:line="560" w:lineRule="exact"/>
        <w:ind w:firstLine="643"/>
        <w:jc w:val="both"/>
        <w:textAlignment w:val="auto"/>
        <w:rPr>
          <w:rFonts w:hint="eastAsia" w:eastAsia="楷体"/>
          <w:lang w:val="en-US" w:eastAsia="zh-CN"/>
        </w:rPr>
      </w:pPr>
      <w:bookmarkStart w:id="24" w:name="_Toc21777"/>
      <w:bookmarkStart w:id="25" w:name="_Toc13189"/>
      <w:r>
        <w:rPr>
          <w:rFonts w:hint="eastAsia"/>
        </w:rPr>
        <w:t>3.1</w:t>
      </w:r>
      <w:r>
        <w:rPr>
          <w:rFonts w:hint="eastAsia"/>
          <w:lang w:val="en-US" w:eastAsia="zh-CN"/>
        </w:rPr>
        <w:t>预防</w:t>
      </w:r>
      <w:bookmarkEnd w:id="24"/>
    </w:p>
    <w:bookmarkEnd w:id="25"/>
    <w:p w14:paraId="40782039">
      <w:pPr>
        <w:pStyle w:val="7"/>
        <w:keepNext w:val="0"/>
        <w:keepLines w:val="0"/>
        <w:pageBreakBefore w:val="0"/>
        <w:widowControl w:val="0"/>
        <w:kinsoku/>
        <w:wordWrap/>
        <w:overflowPunct/>
        <w:topLinePunct/>
        <w:autoSpaceDE/>
        <w:autoSpaceDN/>
        <w:bidi w:val="0"/>
        <w:adjustRightInd/>
        <w:snapToGrid/>
        <w:spacing w:line="560" w:lineRule="exact"/>
        <w:ind w:left="0" w:right="0" w:firstLine="640" w:firstLineChars="200"/>
        <w:jc w:val="both"/>
        <w:textAlignment w:val="auto"/>
        <w:rPr>
          <w:rFonts w:hint="eastAsia" w:ascii="仿宋_GB2312" w:hAnsi="仿宋" w:eastAsia="仿宋_GB2312" w:cs="仿宋"/>
          <w:color w:val="333333"/>
          <w:sz w:val="32"/>
          <w:szCs w:val="32"/>
          <w:shd w:val="clear" w:color="auto" w:fill="FFFFFF"/>
          <w:lang w:val="en-US" w:eastAsia="zh-CN" w:bidi="ar-SA"/>
        </w:rPr>
      </w:pPr>
      <w:bookmarkStart w:id="26" w:name="_Toc28498"/>
      <w:r>
        <w:rPr>
          <w:rFonts w:hint="eastAsia" w:ascii="仿宋_GB2312" w:hAnsi="仿宋" w:eastAsia="仿宋_GB2312" w:cs="仿宋"/>
          <w:color w:val="333333"/>
          <w:sz w:val="32"/>
          <w:szCs w:val="32"/>
          <w:shd w:val="clear" w:color="auto" w:fill="FFFFFF"/>
          <w:lang w:val="en-US" w:eastAsia="zh-CN" w:bidi="ar-SA"/>
        </w:rPr>
        <w:t>各级防灾减灾救灾议事协调机构及相关部门要按照职能职责，从思想认识、组织管理和技术保障上充分做好低温雨雪冰冻灾害的预防准备工作。</w:t>
      </w:r>
    </w:p>
    <w:p w14:paraId="18D8BE5E">
      <w:pPr>
        <w:pStyle w:val="7"/>
        <w:keepNext w:val="0"/>
        <w:keepLines w:val="0"/>
        <w:pageBreakBefore w:val="0"/>
        <w:widowControl w:val="0"/>
        <w:kinsoku/>
        <w:wordWrap/>
        <w:overflowPunct/>
        <w:topLinePunct/>
        <w:autoSpaceDE/>
        <w:autoSpaceDN/>
        <w:bidi w:val="0"/>
        <w:adjustRightInd/>
        <w:snapToGrid/>
        <w:spacing w:line="560" w:lineRule="exact"/>
        <w:ind w:left="0" w:right="0" w:firstLine="640" w:firstLineChars="200"/>
        <w:jc w:val="both"/>
        <w:textAlignment w:val="auto"/>
        <w:rPr>
          <w:rFonts w:hint="eastAsia" w:ascii="仿宋_GB2312" w:hAnsi="仿宋" w:eastAsia="仿宋_GB2312" w:cs="仿宋"/>
          <w:color w:val="333333"/>
          <w:sz w:val="32"/>
          <w:szCs w:val="32"/>
          <w:shd w:val="clear" w:color="auto" w:fill="FFFFFF"/>
          <w:lang w:val="en-US" w:eastAsia="zh-CN" w:bidi="ar-SA"/>
        </w:rPr>
      </w:pPr>
      <w:r>
        <w:rPr>
          <w:rFonts w:hint="eastAsia" w:ascii="仿宋_GB2312" w:hAnsi="仿宋" w:eastAsia="仿宋_GB2312" w:cs="仿宋"/>
          <w:color w:val="333333"/>
          <w:sz w:val="32"/>
          <w:szCs w:val="32"/>
          <w:shd w:val="clear" w:color="auto" w:fill="FFFFFF"/>
          <w:lang w:val="en-US" w:eastAsia="zh-CN" w:bidi="ar-SA"/>
        </w:rPr>
        <w:t>1.思想准备。树牢“人民至上、生命至上”理念，贯彻落实党中央、国务院，省委、省政府和市委、市政府关于低温雨雪冰冻灾害预防和应对处置工作的部署和要求，加强宣传动员，组织多种形式的宣传培训活动，宣讲相关法律法规，提升各相关部门人员履职能力，增强全民防御低温雨雪冰冻灾害和自我保护的意识，提高极端灾害常态化认识，做好“防大灾、抢大险、救大灾”的准备。</w:t>
      </w:r>
    </w:p>
    <w:p w14:paraId="610D73E8">
      <w:pPr>
        <w:pStyle w:val="7"/>
        <w:keepNext w:val="0"/>
        <w:keepLines w:val="0"/>
        <w:pageBreakBefore w:val="0"/>
        <w:widowControl w:val="0"/>
        <w:kinsoku/>
        <w:wordWrap/>
        <w:overflowPunct/>
        <w:topLinePunct/>
        <w:autoSpaceDE/>
        <w:autoSpaceDN/>
        <w:bidi w:val="0"/>
        <w:adjustRightInd/>
        <w:snapToGrid/>
        <w:spacing w:line="560" w:lineRule="exact"/>
        <w:ind w:left="0" w:right="0" w:firstLine="640" w:firstLineChars="200"/>
        <w:jc w:val="both"/>
        <w:textAlignment w:val="auto"/>
        <w:rPr>
          <w:rFonts w:hint="eastAsia" w:ascii="仿宋_GB2312" w:hAnsi="仿宋" w:eastAsia="仿宋_GB2312" w:cs="仿宋"/>
          <w:color w:val="333333"/>
          <w:sz w:val="32"/>
          <w:szCs w:val="32"/>
          <w:shd w:val="clear" w:color="auto" w:fill="FFFFFF"/>
          <w:lang w:val="en-US" w:eastAsia="zh-CN" w:bidi="ar-SA"/>
        </w:rPr>
      </w:pPr>
      <w:r>
        <w:rPr>
          <w:rFonts w:hint="eastAsia" w:ascii="仿宋_GB2312" w:hAnsi="仿宋" w:eastAsia="仿宋_GB2312" w:cs="仿宋"/>
          <w:color w:val="333333"/>
          <w:sz w:val="32"/>
          <w:szCs w:val="32"/>
          <w:shd w:val="clear" w:color="auto" w:fill="FFFFFF"/>
          <w:lang w:val="en-US" w:eastAsia="zh-CN" w:bidi="ar-SA"/>
        </w:rPr>
        <w:t>2.组织准备。建立健全低温雨雪冰冻灾害应对组织体系，理顺防灾减灾救灾工作机制，完善监测预报、指挥调度、会商研判、值班值守等制度，逐级落实低温雨雪冰冻灾害应对责任人。</w:t>
      </w:r>
    </w:p>
    <w:p w14:paraId="346633A9">
      <w:pPr>
        <w:pStyle w:val="7"/>
        <w:keepNext w:val="0"/>
        <w:keepLines w:val="0"/>
        <w:pageBreakBefore w:val="0"/>
        <w:widowControl w:val="0"/>
        <w:kinsoku/>
        <w:wordWrap/>
        <w:overflowPunct/>
        <w:topLinePunct/>
        <w:autoSpaceDE/>
        <w:autoSpaceDN/>
        <w:bidi w:val="0"/>
        <w:adjustRightInd/>
        <w:snapToGrid/>
        <w:spacing w:line="560" w:lineRule="exact"/>
        <w:ind w:left="0" w:right="0" w:firstLine="640" w:firstLineChars="200"/>
        <w:jc w:val="both"/>
        <w:textAlignment w:val="auto"/>
        <w:rPr>
          <w:rFonts w:hint="eastAsia" w:ascii="仿宋_GB2312" w:hAnsi="仿宋" w:eastAsia="仿宋_GB2312" w:cs="仿宋"/>
          <w:color w:val="333333"/>
          <w:sz w:val="32"/>
          <w:szCs w:val="32"/>
          <w:shd w:val="clear" w:color="auto" w:fill="FFFFFF"/>
          <w:lang w:val="en-US" w:eastAsia="zh-CN" w:bidi="ar-SA"/>
        </w:rPr>
      </w:pPr>
      <w:r>
        <w:rPr>
          <w:rFonts w:hint="eastAsia" w:ascii="仿宋_GB2312" w:hAnsi="仿宋" w:eastAsia="仿宋_GB2312" w:cs="仿宋"/>
          <w:color w:val="333333"/>
          <w:sz w:val="32"/>
          <w:szCs w:val="32"/>
          <w:shd w:val="clear" w:color="auto" w:fill="FFFFFF"/>
          <w:lang w:val="en-US" w:eastAsia="zh-CN" w:bidi="ar-SA"/>
        </w:rPr>
        <w:t>3.预案准备。及时编制、修订本级低温雨雪冰冻灾害应急预案，按规定报批或备案。开展预案的宣传、教育、培训、演练，提升预案的可操作性。</w:t>
      </w:r>
    </w:p>
    <w:p w14:paraId="2BA92846">
      <w:pPr>
        <w:pStyle w:val="7"/>
        <w:keepNext w:val="0"/>
        <w:keepLines w:val="0"/>
        <w:pageBreakBefore w:val="0"/>
        <w:widowControl w:val="0"/>
        <w:kinsoku/>
        <w:wordWrap/>
        <w:overflowPunct/>
        <w:topLinePunct/>
        <w:autoSpaceDE/>
        <w:autoSpaceDN/>
        <w:bidi w:val="0"/>
        <w:adjustRightInd/>
        <w:snapToGrid/>
        <w:spacing w:line="560" w:lineRule="exact"/>
        <w:ind w:left="0" w:right="0" w:firstLine="640" w:firstLineChars="200"/>
        <w:jc w:val="both"/>
        <w:textAlignment w:val="auto"/>
        <w:rPr>
          <w:rFonts w:hint="eastAsia" w:ascii="仿宋_GB2312" w:hAnsi="仿宋" w:eastAsia="仿宋_GB2312" w:cs="仿宋"/>
          <w:color w:val="333333"/>
          <w:sz w:val="32"/>
          <w:szCs w:val="32"/>
          <w:shd w:val="clear" w:color="auto" w:fill="FFFFFF"/>
          <w:lang w:val="en-US" w:eastAsia="zh-CN" w:bidi="ar-SA"/>
        </w:rPr>
      </w:pPr>
      <w:r>
        <w:rPr>
          <w:rFonts w:hint="eastAsia" w:ascii="仿宋_GB2312" w:hAnsi="仿宋" w:eastAsia="仿宋_GB2312" w:cs="仿宋"/>
          <w:color w:val="333333"/>
          <w:sz w:val="32"/>
          <w:szCs w:val="32"/>
          <w:shd w:val="clear" w:color="auto" w:fill="FFFFFF"/>
          <w:lang w:val="en-US" w:eastAsia="zh-CN" w:bidi="ar-SA"/>
        </w:rPr>
        <w:t>4.物资队伍准备。明确低温雨雪冰冻灾害应对物资品种、数量，足额补充和储备抢险救援救灾物资，确保急需时可调可用。加强低温雨雪冰冻灾害抢险救援救灾队伍建设，统计梳理掌握本区域国家综合性消防救援队伍、民兵和武警部队、专业救援队伍和各类社会应急救援队伍情况，理顺各类队伍日常管理、灾时调用、任务分配等工作机制。民兵、武警部队支援地方抗灾救灾，组织部队官兵协助地方人民政府和有关部门开展除雪除冰、人员转移安置和基础设施抢修等应急抢险行动。鼓励和支持相关单位成立志愿服务队伍，鼓励和支持个人提供专业志愿服务，投入应急抢险救援救灾工作的志愿服务队伍由各级应急指挥机构管理和安排工作，各级团组织协助应急指挥机构，统筹协调做好志愿者及志愿者组织的报名、派遣和相关服务工作。</w:t>
      </w:r>
    </w:p>
    <w:p w14:paraId="11D051C5">
      <w:pPr>
        <w:pStyle w:val="7"/>
        <w:keepNext w:val="0"/>
        <w:keepLines w:val="0"/>
        <w:pageBreakBefore w:val="0"/>
        <w:widowControl w:val="0"/>
        <w:kinsoku/>
        <w:wordWrap/>
        <w:overflowPunct/>
        <w:topLinePunct/>
        <w:autoSpaceDE/>
        <w:autoSpaceDN/>
        <w:bidi w:val="0"/>
        <w:adjustRightInd/>
        <w:snapToGrid/>
        <w:spacing w:line="560" w:lineRule="exact"/>
        <w:ind w:left="0" w:right="0" w:firstLine="640" w:firstLineChars="200"/>
        <w:jc w:val="both"/>
        <w:textAlignment w:val="auto"/>
        <w:rPr>
          <w:rFonts w:hint="eastAsia" w:ascii="仿宋_GB2312" w:hAnsi="仿宋" w:eastAsia="仿宋_GB2312" w:cs="仿宋"/>
          <w:color w:val="333333"/>
          <w:sz w:val="32"/>
          <w:szCs w:val="32"/>
          <w:shd w:val="clear" w:color="auto" w:fill="FFFFFF"/>
          <w:lang w:val="en-US" w:eastAsia="zh-CN" w:bidi="ar-SA"/>
        </w:rPr>
      </w:pPr>
      <w:r>
        <w:rPr>
          <w:rFonts w:hint="eastAsia" w:ascii="仿宋_GB2312" w:hAnsi="仿宋" w:eastAsia="仿宋_GB2312" w:cs="仿宋"/>
          <w:color w:val="333333"/>
          <w:sz w:val="32"/>
          <w:szCs w:val="32"/>
          <w:shd w:val="clear" w:color="auto" w:fill="FFFFFF"/>
          <w:lang w:val="en-US" w:eastAsia="zh-CN" w:bidi="ar-SA"/>
        </w:rPr>
        <w:t>5.隐患排查。采取多种方式对存在风险的重点区域、重点部位和重点设施进行详细调查和评估，及时采取有效措施管控风险、治理隐患，不能及时处置的，要落实好相关责任人，并采取针对性应急措施。</w:t>
      </w:r>
    </w:p>
    <w:p w14:paraId="4552249D">
      <w:pPr>
        <w:pStyle w:val="7"/>
        <w:keepNext w:val="0"/>
        <w:keepLines w:val="0"/>
        <w:pageBreakBefore w:val="0"/>
        <w:widowControl w:val="0"/>
        <w:kinsoku/>
        <w:wordWrap/>
        <w:overflowPunct/>
        <w:topLinePunct/>
        <w:autoSpaceDE/>
        <w:autoSpaceDN/>
        <w:bidi w:val="0"/>
        <w:adjustRightInd/>
        <w:snapToGrid/>
        <w:spacing w:line="560" w:lineRule="exact"/>
        <w:ind w:left="0" w:right="0" w:firstLine="640" w:firstLineChars="200"/>
        <w:jc w:val="both"/>
        <w:textAlignment w:val="auto"/>
        <w:rPr>
          <w:rFonts w:hint="eastAsia" w:ascii="仿宋_GB2312" w:hAnsi="仿宋" w:eastAsia="仿宋_GB2312" w:cs="仿宋"/>
          <w:color w:val="333333"/>
          <w:sz w:val="32"/>
          <w:szCs w:val="32"/>
          <w:shd w:val="clear" w:color="auto" w:fill="FFFFFF"/>
          <w:lang w:val="en-US" w:eastAsia="zh-CN" w:bidi="ar-SA"/>
        </w:rPr>
      </w:pPr>
      <w:r>
        <w:rPr>
          <w:rFonts w:hint="eastAsia" w:ascii="仿宋_GB2312" w:hAnsi="仿宋" w:eastAsia="仿宋_GB2312" w:cs="仿宋"/>
          <w:color w:val="333333"/>
          <w:sz w:val="32"/>
          <w:szCs w:val="32"/>
          <w:shd w:val="clear" w:color="auto" w:fill="FFFFFF"/>
          <w:lang w:val="en-US" w:eastAsia="zh-CN" w:bidi="ar-SA"/>
        </w:rPr>
        <w:t>6.科技赋能。充分发挥专家队伍和专业人员的作用，强化低温雨雪冰冻灾害防范应对科技支撑，优化整合各类科技资源，充分运用新技术新方法，提高防灾减灾救灾科学化、专业化和智能化水平。</w:t>
      </w:r>
      <w:bookmarkEnd w:id="26"/>
      <w:bookmarkStart w:id="27" w:name="bookmark25"/>
      <w:bookmarkEnd w:id="27"/>
      <w:bookmarkStart w:id="28" w:name="bookmark26"/>
      <w:bookmarkEnd w:id="28"/>
    </w:p>
    <w:p w14:paraId="31C0C041">
      <w:pPr>
        <w:pStyle w:val="4"/>
        <w:keepNext w:val="0"/>
        <w:keepLines w:val="0"/>
        <w:pageBreakBefore w:val="0"/>
        <w:widowControl w:val="0"/>
        <w:shd w:val="clear"/>
        <w:kinsoku/>
        <w:wordWrap/>
        <w:overflowPunct/>
        <w:topLinePunct w:val="0"/>
        <w:autoSpaceDE/>
        <w:autoSpaceDN/>
        <w:bidi w:val="0"/>
        <w:adjustRightInd/>
        <w:snapToGrid/>
        <w:spacing w:line="560" w:lineRule="exact"/>
        <w:ind w:firstLine="643"/>
        <w:jc w:val="both"/>
        <w:textAlignment w:val="auto"/>
        <w:rPr>
          <w:rFonts w:hint="eastAsia"/>
          <w:lang w:val="en-US" w:eastAsia="zh-CN"/>
        </w:rPr>
      </w:pPr>
      <w:bookmarkStart w:id="29" w:name="_Toc28228"/>
      <w:bookmarkStart w:id="30" w:name="_Toc10090"/>
      <w:r>
        <w:rPr>
          <w:rFonts w:hint="eastAsia"/>
          <w:lang w:val="en-US" w:eastAsia="zh-CN"/>
        </w:rPr>
        <w:t>3.2监测预报</w:t>
      </w:r>
      <w:bookmarkEnd w:id="29"/>
    </w:p>
    <w:p w14:paraId="4086214F">
      <w:pPr>
        <w:pStyle w:val="7"/>
        <w:keepNext w:val="0"/>
        <w:keepLines w:val="0"/>
        <w:pageBreakBefore w:val="0"/>
        <w:widowControl w:val="0"/>
        <w:kinsoku/>
        <w:wordWrap/>
        <w:overflowPunct/>
        <w:topLinePunct/>
        <w:autoSpaceDE/>
        <w:autoSpaceDN/>
        <w:bidi w:val="0"/>
        <w:adjustRightInd/>
        <w:snapToGrid/>
        <w:spacing w:line="560" w:lineRule="exact"/>
        <w:ind w:left="0" w:right="0" w:firstLine="640" w:firstLineChars="200"/>
        <w:jc w:val="both"/>
        <w:textAlignment w:val="auto"/>
        <w:rPr>
          <w:rFonts w:hint="eastAsia" w:ascii="仿宋_GB2312" w:hAnsi="仿宋" w:eastAsia="仿宋_GB2312" w:cs="仿宋"/>
          <w:bCs/>
          <w:color w:val="333333"/>
          <w:kern w:val="44"/>
          <w:sz w:val="32"/>
          <w:szCs w:val="32"/>
          <w:shd w:val="clear" w:color="auto" w:fill="FFFFFF"/>
          <w:lang w:val="en-US" w:eastAsia="zh-CN" w:bidi="ar-SA"/>
        </w:rPr>
      </w:pPr>
      <w:r>
        <w:rPr>
          <w:rFonts w:hint="eastAsia" w:ascii="仿宋_GB2312" w:hAnsi="仿宋" w:eastAsia="仿宋_GB2312" w:cs="仿宋"/>
          <w:bCs/>
          <w:color w:val="333333"/>
          <w:kern w:val="44"/>
          <w:sz w:val="32"/>
          <w:szCs w:val="32"/>
          <w:shd w:val="clear" w:color="auto" w:fill="FFFFFF"/>
          <w:lang w:val="en-US" w:eastAsia="zh-CN" w:bidi="ar-SA"/>
        </w:rPr>
        <w:t>区应急局协调市气象部门提供低温雨雪冰冻灾害天气监测预报信息，及时向区安委会办公室提供监测预报结果，并通报相关成员单位。各成员单位按照职能职责分工，根据监测预报信息，对本行业可能受影响的对象和范围进行分析预测，并开展相关监测预警及提示工作，及时向区安委会办公室报告相关情况。</w:t>
      </w:r>
    </w:p>
    <w:p w14:paraId="692A9AF0">
      <w:pPr>
        <w:pStyle w:val="4"/>
        <w:keepNext w:val="0"/>
        <w:keepLines w:val="0"/>
        <w:pageBreakBefore w:val="0"/>
        <w:widowControl w:val="0"/>
        <w:shd w:val="clear"/>
        <w:kinsoku/>
        <w:wordWrap/>
        <w:overflowPunct/>
        <w:topLinePunct w:val="0"/>
        <w:autoSpaceDE/>
        <w:autoSpaceDN/>
        <w:bidi w:val="0"/>
        <w:adjustRightInd/>
        <w:snapToGrid/>
        <w:spacing w:line="560" w:lineRule="exact"/>
        <w:ind w:firstLine="643"/>
        <w:jc w:val="both"/>
        <w:textAlignment w:val="auto"/>
      </w:pPr>
      <w:bookmarkStart w:id="31" w:name="_Toc4059"/>
      <w:bookmarkStart w:id="32" w:name="_Toc12501"/>
      <w:r>
        <w:rPr>
          <w:rFonts w:hint="eastAsia"/>
          <w:lang w:val="en-US" w:eastAsia="zh-CN"/>
        </w:rPr>
        <w:t>3</w:t>
      </w:r>
      <w:r>
        <w:rPr>
          <w:rFonts w:hint="eastAsia"/>
        </w:rPr>
        <w:t>.</w:t>
      </w:r>
      <w:r>
        <w:rPr>
          <w:rFonts w:hint="eastAsia"/>
          <w:lang w:val="en-US" w:eastAsia="zh-CN"/>
        </w:rPr>
        <w:t>3</w:t>
      </w:r>
      <w:r>
        <w:rPr>
          <w:rFonts w:hint="eastAsia"/>
        </w:rPr>
        <w:t>预警发布</w:t>
      </w:r>
      <w:bookmarkEnd w:id="31"/>
      <w:bookmarkEnd w:id="32"/>
    </w:p>
    <w:p w14:paraId="67B96E7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区政府建立健全预警信息发布系统，烈山道路运输管理服务中心、</w:t>
      </w:r>
      <w:r>
        <w:rPr>
          <w:rFonts w:hint="eastAsia" w:ascii="仿宋_GB2312" w:hAnsi="仿宋" w:eastAsia="仿宋_GB2312" w:cs="仿宋"/>
          <w:color w:val="333333"/>
          <w:sz w:val="32"/>
          <w:szCs w:val="32"/>
          <w:shd w:val="clear" w:color="auto" w:fill="FFFFFF"/>
          <w:lang w:eastAsia="zh-CN"/>
        </w:rPr>
        <w:t>淮北市自然资源和规划局烈山分局</w:t>
      </w:r>
      <w:r>
        <w:rPr>
          <w:rFonts w:hint="eastAsia" w:ascii="仿宋_GB2312" w:hAnsi="仿宋" w:eastAsia="仿宋_GB2312" w:cs="仿宋"/>
          <w:color w:val="333333"/>
          <w:sz w:val="32"/>
          <w:szCs w:val="32"/>
          <w:shd w:val="clear" w:color="auto" w:fill="FFFFFF"/>
        </w:rPr>
        <w:t>、区住房和城乡建设局、区农业农村水利局、区文化旅游体育局、区科技经济和信息化局、烈山供电部门等部门建立健全本领域预警信息发布系统，按照《安徽省气象灾害防御条例》等相关规定，通过广播、电视、报纸、网络、手机短信、微信、微博等传统媒体和新媒体方式，及时发布低温雨雪冰冻天气相关预警信息。广播、电视、报纸等媒体单位，电信、移动、联通等通信运营企业，公路（道路）管理部门、高速公路运营管理单位等，应及时播报和转发气象部门发布的低温雨雪冰冻灾害天气预警信息。</w:t>
      </w:r>
    </w:p>
    <w:p w14:paraId="1444695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各级人民政府和有关单位、学校、医院、村（社区）、工矿企业、建筑工地等要指定专人负责气象灾害预警信息接收传递工作，重点健全向基层传递机制，形成区-镇（街道）-村（社区）-户直通的气象灾害预警信息传播渠道。居民委员会、村民委员会等基层组织要第一时间传递预警信息，迅速组织群众防灾避险。</w:t>
      </w:r>
    </w:p>
    <w:p w14:paraId="7B537F96">
      <w:pPr>
        <w:pStyle w:val="4"/>
        <w:keepNext w:val="0"/>
        <w:keepLines w:val="0"/>
        <w:pageBreakBefore w:val="0"/>
        <w:widowControl w:val="0"/>
        <w:shd w:val="clear"/>
        <w:kinsoku/>
        <w:wordWrap/>
        <w:overflowPunct/>
        <w:topLinePunct w:val="0"/>
        <w:autoSpaceDE/>
        <w:autoSpaceDN/>
        <w:bidi w:val="0"/>
        <w:adjustRightInd/>
        <w:snapToGrid/>
        <w:spacing w:line="560" w:lineRule="exact"/>
        <w:ind w:firstLine="643"/>
        <w:jc w:val="both"/>
        <w:textAlignment w:val="auto"/>
      </w:pPr>
      <w:bookmarkStart w:id="33" w:name="_Toc15794"/>
      <w:r>
        <w:rPr>
          <w:rFonts w:hint="eastAsia"/>
          <w:lang w:val="en-US" w:eastAsia="zh-CN"/>
        </w:rPr>
        <w:t>3</w:t>
      </w:r>
      <w:r>
        <w:rPr>
          <w:rFonts w:hint="eastAsia"/>
        </w:rPr>
        <w:t>.</w:t>
      </w:r>
      <w:r>
        <w:rPr>
          <w:rFonts w:hint="eastAsia"/>
          <w:lang w:val="en-US" w:eastAsia="zh-CN"/>
        </w:rPr>
        <w:t>4</w:t>
      </w:r>
      <w:r>
        <w:rPr>
          <w:rFonts w:hint="eastAsia"/>
        </w:rPr>
        <w:t>预警级别</w:t>
      </w:r>
      <w:bookmarkEnd w:id="30"/>
      <w:bookmarkEnd w:id="33"/>
    </w:p>
    <w:p w14:paraId="4D52948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按雨雪冰冻灾害天气的危害程度、紧急程度和发展态势、影响范围，预警级别划分为四个等级：I级、II级、III级、IV级。</w:t>
      </w:r>
    </w:p>
    <w:p w14:paraId="7419D730">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仿宋"/>
          <w:b/>
          <w:bCs/>
          <w:color w:val="333333"/>
          <w:sz w:val="32"/>
          <w:szCs w:val="32"/>
          <w:shd w:val="clear" w:color="auto" w:fill="FFFFFF"/>
          <w:lang w:val="en-US" w:eastAsia="zh-CN"/>
        </w:rPr>
      </w:pPr>
      <w:r>
        <w:rPr>
          <w:rFonts w:hint="eastAsia" w:ascii="仿宋_GB2312" w:hAnsi="仿宋" w:eastAsia="仿宋_GB2312" w:cs="仿宋"/>
          <w:b/>
          <w:bCs/>
          <w:color w:val="333333"/>
          <w:sz w:val="32"/>
          <w:szCs w:val="32"/>
          <w:shd w:val="clear" w:color="auto" w:fill="FFFFFF"/>
          <w:lang w:val="en-US" w:eastAsia="zh-CN"/>
        </w:rPr>
        <w:t>3.4.1I级预警</w:t>
      </w:r>
    </w:p>
    <w:p w14:paraId="1E6130D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已启动II级预警并持续2天，6小时内降雪量将达15毫米以上，或者已达15毫米以上且降雪持续，最低气温持续低于-2℃，2小时内可能出现或者已经出现对交通有影响的道路结冰。</w:t>
      </w:r>
    </w:p>
    <w:p w14:paraId="119B913C">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仿宋"/>
          <w:b/>
          <w:bCs/>
          <w:color w:val="333333"/>
          <w:sz w:val="32"/>
          <w:szCs w:val="32"/>
          <w:shd w:val="clear" w:color="auto" w:fill="FFFFFF"/>
          <w:lang w:val="en-US" w:eastAsia="zh-CN"/>
        </w:rPr>
      </w:pPr>
      <w:r>
        <w:rPr>
          <w:rFonts w:hint="eastAsia" w:ascii="仿宋_GB2312" w:hAnsi="仿宋" w:eastAsia="仿宋_GB2312" w:cs="仿宋"/>
          <w:b/>
          <w:bCs/>
          <w:color w:val="333333"/>
          <w:sz w:val="32"/>
          <w:szCs w:val="32"/>
          <w:shd w:val="clear" w:color="auto" w:fill="FFFFFF"/>
          <w:lang w:val="en-US" w:eastAsia="zh-CN"/>
        </w:rPr>
        <w:t>3.4.2II级预警</w:t>
      </w:r>
    </w:p>
    <w:p w14:paraId="181F583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6小时内降雪量将达10毫米以上，或者已达10毫米以上且降雪持续，最低气温持续低于-2℃，6小时内可能出现对交通有较大影响的道路结冰。</w:t>
      </w:r>
    </w:p>
    <w:p w14:paraId="05879F95">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仿宋"/>
          <w:b/>
          <w:bCs/>
          <w:color w:val="333333"/>
          <w:sz w:val="32"/>
          <w:szCs w:val="32"/>
          <w:shd w:val="clear" w:color="auto" w:fill="FFFFFF"/>
          <w:lang w:val="en-US" w:eastAsia="zh-CN"/>
        </w:rPr>
      </w:pPr>
      <w:r>
        <w:rPr>
          <w:rFonts w:hint="eastAsia" w:ascii="仿宋_GB2312" w:hAnsi="仿宋" w:eastAsia="仿宋_GB2312" w:cs="仿宋"/>
          <w:b/>
          <w:bCs/>
          <w:color w:val="333333"/>
          <w:sz w:val="32"/>
          <w:szCs w:val="32"/>
          <w:shd w:val="clear" w:color="auto" w:fill="FFFFFF"/>
          <w:lang w:val="en-US" w:eastAsia="zh-CN"/>
        </w:rPr>
        <w:t>3.4.3III级预警</w:t>
      </w:r>
    </w:p>
    <w:p w14:paraId="3F01BEB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12小时内降雪量将达6毫米以上，或者已达6毫米以上且降雪持续，最低气温连续5天低于0℃，12小时内可能出现对交通有影响的道路结冰。</w:t>
      </w:r>
    </w:p>
    <w:p w14:paraId="40FD628B">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仿宋"/>
          <w:b/>
          <w:bCs/>
          <w:color w:val="333333"/>
          <w:sz w:val="32"/>
          <w:szCs w:val="32"/>
          <w:shd w:val="clear" w:color="auto" w:fill="FFFFFF"/>
          <w:lang w:val="en-US" w:eastAsia="zh-CN"/>
        </w:rPr>
      </w:pPr>
      <w:r>
        <w:rPr>
          <w:rFonts w:hint="eastAsia" w:ascii="仿宋_GB2312" w:hAnsi="仿宋" w:eastAsia="仿宋_GB2312" w:cs="仿宋"/>
          <w:b/>
          <w:bCs/>
          <w:color w:val="333333"/>
          <w:sz w:val="32"/>
          <w:szCs w:val="32"/>
          <w:shd w:val="clear" w:color="auto" w:fill="FFFFFF"/>
          <w:lang w:val="en-US" w:eastAsia="zh-CN"/>
        </w:rPr>
        <w:t>3.4.4IV级预警</w:t>
      </w:r>
    </w:p>
    <w:p w14:paraId="2ADAAC0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12小时内降雪量将达4毫米以上，或者已达4毫米以上且降雪持续，最低气温连续3天低于0℃，可能对交通或农业有影响。</w:t>
      </w:r>
      <w:bookmarkStart w:id="34" w:name="_Toc2282"/>
    </w:p>
    <w:p w14:paraId="5D623AB2">
      <w:pPr>
        <w:pStyle w:val="4"/>
        <w:keepNext w:val="0"/>
        <w:keepLines w:val="0"/>
        <w:pageBreakBefore w:val="0"/>
        <w:widowControl w:val="0"/>
        <w:shd w:val="clear"/>
        <w:kinsoku/>
        <w:wordWrap/>
        <w:overflowPunct/>
        <w:topLinePunct w:val="0"/>
        <w:autoSpaceDE/>
        <w:autoSpaceDN/>
        <w:bidi w:val="0"/>
        <w:adjustRightInd/>
        <w:snapToGrid/>
        <w:spacing w:line="560" w:lineRule="exact"/>
        <w:ind w:firstLine="643"/>
        <w:jc w:val="both"/>
        <w:textAlignment w:val="auto"/>
      </w:pPr>
      <w:bookmarkStart w:id="35" w:name="_Toc11716"/>
      <w:r>
        <w:rPr>
          <w:rFonts w:hint="eastAsia"/>
          <w:lang w:val="en-US" w:eastAsia="zh-CN"/>
        </w:rPr>
        <w:t>3</w:t>
      </w:r>
      <w:r>
        <w:rPr>
          <w:rFonts w:hint="eastAsia"/>
        </w:rPr>
        <w:t>.</w:t>
      </w:r>
      <w:r>
        <w:rPr>
          <w:rFonts w:hint="eastAsia"/>
          <w:lang w:val="en-US" w:eastAsia="zh-CN"/>
        </w:rPr>
        <w:t>5</w:t>
      </w:r>
      <w:r>
        <w:rPr>
          <w:rFonts w:hint="eastAsia"/>
        </w:rPr>
        <w:t>预警响应</w:t>
      </w:r>
      <w:bookmarkEnd w:id="34"/>
      <w:bookmarkEnd w:id="35"/>
    </w:p>
    <w:p w14:paraId="0308FCE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3.5.1预警响应行动</w:t>
      </w:r>
    </w:p>
    <w:p w14:paraId="2B641B2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1）区安委会办公室根据气象等部门预报预警信息，对可能出现的影响情况进行会商研判，及时掌握低温雨雪冰冻灾害基本情况、发展趋势，调度督促相关镇（街道）、开发区和有关部门加强应急值守、会商研判、隐患排查、队伍物资装备准备等防灾减灾工作。</w:t>
      </w:r>
    </w:p>
    <w:p w14:paraId="1F654C3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（2）区发展和改革委员会、区科技工业信息化局、</w:t>
      </w:r>
      <w:r>
        <w:rPr>
          <w:rFonts w:hint="eastAsia" w:ascii="仿宋_GB2312" w:hAnsi="仿宋_GB2312" w:eastAsia="仿宋_GB2312" w:cs="仿宋_GB2312"/>
          <w:color w:val="333333"/>
          <w:kern w:val="0"/>
          <w:sz w:val="28"/>
          <w:szCs w:val="28"/>
          <w:shd w:val="clear" w:color="auto" w:fill="FFFFFF"/>
          <w:lang w:eastAsia="zh-CN" w:bidi="ar"/>
        </w:rPr>
        <w:t>淮北市公安局烈山分局</w:t>
      </w:r>
      <w:r>
        <w:rPr>
          <w:rFonts w:hint="eastAsia" w:ascii="仿宋_GB2312" w:hAnsi="仿宋" w:eastAsia="仿宋_GB2312" w:cs="仿宋"/>
          <w:color w:val="333333"/>
          <w:sz w:val="32"/>
          <w:szCs w:val="32"/>
          <w:shd w:val="clear" w:color="auto" w:fill="FFFFFF"/>
          <w:lang w:val="en-US" w:eastAsia="zh-CN"/>
        </w:rPr>
        <w:t>、自然资源、住房城乡建设、交通运输、水务、农业农村、</w:t>
      </w:r>
      <w:r>
        <w:rPr>
          <w:rFonts w:hint="eastAsia" w:ascii="仿宋_GB2312" w:hAnsi="仿宋_GB2312" w:eastAsia="仿宋_GB2312" w:cs="仿宋_GB2312"/>
          <w:color w:val="333333"/>
          <w:kern w:val="0"/>
          <w:sz w:val="28"/>
          <w:szCs w:val="28"/>
          <w:shd w:val="clear" w:color="auto" w:fill="FFFFFF"/>
          <w:lang w:bidi="ar"/>
        </w:rPr>
        <w:t>区文化旅游体育局</w:t>
      </w:r>
      <w:r>
        <w:rPr>
          <w:rFonts w:hint="eastAsia" w:ascii="仿宋_GB2312" w:hAnsi="仿宋" w:eastAsia="仿宋_GB2312" w:cs="仿宋"/>
          <w:color w:val="333333"/>
          <w:sz w:val="32"/>
          <w:szCs w:val="32"/>
          <w:shd w:val="clear" w:color="auto" w:fill="FFFFFF"/>
          <w:lang w:val="en-US" w:eastAsia="zh-CN"/>
        </w:rPr>
        <w:t>、区应急管理局等部门加强监测和管理，针对低温雨雪冰冻灾害预警及发展趋势，积极组织做好防御工作。</w:t>
      </w:r>
    </w:p>
    <w:p w14:paraId="31C4E5F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（3）有低温雨雪冰冻灾害防范应对任务的镇（街道）、开发区党委、政府按照灾害预警信息有关要求，因地制宜采取防范措施，避免或减少低</w:t>
      </w:r>
      <w:bookmarkStart w:id="36" w:name="bookmark32"/>
      <w:bookmarkEnd w:id="36"/>
      <w:r>
        <w:rPr>
          <w:rFonts w:hint="eastAsia" w:ascii="仿宋_GB2312" w:hAnsi="仿宋" w:eastAsia="仿宋_GB2312" w:cs="仿宋"/>
          <w:color w:val="333333"/>
          <w:sz w:val="32"/>
          <w:szCs w:val="32"/>
          <w:shd w:val="clear" w:color="auto" w:fill="FFFFFF"/>
          <w:lang w:val="en-US" w:eastAsia="zh-CN"/>
        </w:rPr>
        <w:t>温雨雪冰冻灾害可能造成的损失。</w:t>
      </w:r>
    </w:p>
    <w:p w14:paraId="675E4DB0">
      <w:pPr>
        <w:pStyle w:val="19"/>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3.5.2预警响应措施</w:t>
      </w:r>
    </w:p>
    <w:p w14:paraId="61E90C6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（1）城市基础设施方面：采取必要措施，确保通信、供水、排水、供电、供气、供热等公共设施的安全和正常运行。</w:t>
      </w:r>
    </w:p>
    <w:p w14:paraId="44EADD1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2）城乡建筑方面：针对可能出现险情的建筑要及时进行人员转移，对危房进行维修加固。针对公交站牌、户外广告牌等构筑物以及地下通道出入口等进行隐患排查，对存在安全隐患的及时采取排除隐患、设置警示牌等措施。</w:t>
      </w:r>
    </w:p>
    <w:p w14:paraId="74197D2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（3）交通运输方面：针对天气状况进行限速、限行等措施，做好车辆分流、交通疏导、现场秩序维护和人员疏散等工作。</w:t>
      </w:r>
    </w:p>
    <w:p w14:paraId="7ADCBFD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4）生产生活方面：督导企业对生产、仓储场所以及露天设备、运输车辆等进行安全检查，防范事故的发生。对煤炭、成品油、粮油、肉、蛋、菜等重要生产物资和生活必需品的供应进行适当储备并制定保供计划。</w:t>
      </w:r>
    </w:p>
    <w:p w14:paraId="350A676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（5）安置救助方面：做好食品、饮用水、衣被、帐篷等救灾物资调用的准备，保障转移人员的基本生活。</w:t>
      </w:r>
    </w:p>
    <w:p w14:paraId="3CEC28E9">
      <w:pPr>
        <w:pStyle w:val="3"/>
        <w:keepNext w:val="0"/>
        <w:keepLines w:val="0"/>
        <w:pageBreakBefore w:val="0"/>
        <w:widowControl w:val="0"/>
        <w:shd w:val="clear"/>
        <w:kinsoku/>
        <w:wordWrap/>
        <w:overflowPunct/>
        <w:topLinePunct w:val="0"/>
        <w:autoSpaceDE/>
        <w:autoSpaceDN/>
        <w:bidi w:val="0"/>
        <w:adjustRightInd/>
        <w:snapToGrid/>
        <w:spacing w:line="560" w:lineRule="exact"/>
        <w:ind w:firstLine="640"/>
        <w:jc w:val="both"/>
        <w:textAlignment w:val="auto"/>
      </w:pPr>
      <w:bookmarkStart w:id="37" w:name="_Toc7290"/>
      <w:bookmarkStart w:id="38" w:name="_Toc5658"/>
      <w:r>
        <w:rPr>
          <w:rFonts w:hint="eastAsia"/>
          <w:lang w:val="en-US" w:eastAsia="zh-CN"/>
        </w:rPr>
        <w:t>4</w:t>
      </w:r>
      <w:r>
        <w:rPr>
          <w:rFonts w:hint="eastAsia"/>
        </w:rPr>
        <w:t>应急响应</w:t>
      </w:r>
      <w:bookmarkEnd w:id="37"/>
      <w:bookmarkEnd w:id="38"/>
    </w:p>
    <w:p w14:paraId="4AEA3D59">
      <w:pPr>
        <w:pStyle w:val="4"/>
        <w:keepNext w:val="0"/>
        <w:keepLines w:val="0"/>
        <w:pageBreakBefore w:val="0"/>
        <w:widowControl w:val="0"/>
        <w:shd w:val="clear"/>
        <w:kinsoku/>
        <w:wordWrap/>
        <w:overflowPunct/>
        <w:topLinePunct w:val="0"/>
        <w:autoSpaceDE/>
        <w:autoSpaceDN/>
        <w:bidi w:val="0"/>
        <w:adjustRightInd/>
        <w:snapToGrid/>
        <w:spacing w:line="560" w:lineRule="exact"/>
        <w:ind w:firstLine="643"/>
        <w:jc w:val="both"/>
        <w:textAlignment w:val="auto"/>
      </w:pPr>
      <w:bookmarkStart w:id="39" w:name="_Toc20616"/>
      <w:bookmarkStart w:id="40" w:name="_Toc28338"/>
      <w:r>
        <w:rPr>
          <w:rFonts w:hint="eastAsia"/>
          <w:lang w:val="en-US" w:eastAsia="zh-CN"/>
        </w:rPr>
        <w:t>4</w:t>
      </w:r>
      <w:r>
        <w:rPr>
          <w:rFonts w:hint="eastAsia"/>
        </w:rPr>
        <w:t>.1I级响应</w:t>
      </w:r>
      <w:bookmarkEnd w:id="39"/>
      <w:bookmarkEnd w:id="40"/>
    </w:p>
    <w:p w14:paraId="17405CD8">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.1.1启动条件</w:t>
      </w:r>
    </w:p>
    <w:p w14:paraId="1B36985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区应急管理局已发布预警或专报等，且一次低温雨雪冰冻灾害过程，造成下列情形之一的，视为特别重大低温雨雪冰冻灾害，启动I级响应。</w:t>
      </w:r>
    </w:p>
    <w:p w14:paraId="187E511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（1）区境内2／3的高速公路和国省干道交通中断48小时以上；</w:t>
      </w:r>
    </w:p>
    <w:p w14:paraId="40F8B36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（2）因灾紧急转移安置或需紧急生活救助</w:t>
      </w:r>
      <w:r>
        <w:rPr>
          <w:rFonts w:ascii="仿宋_GB2312" w:hAnsi="仿宋" w:eastAsia="仿宋_GB2312" w:cs="仿宋"/>
          <w:color w:val="333333"/>
          <w:sz w:val="32"/>
          <w:szCs w:val="32"/>
          <w:shd w:val="clear" w:color="auto" w:fill="FFFFFF"/>
        </w:rPr>
        <w:t>1</w:t>
      </w:r>
      <w:r>
        <w:rPr>
          <w:rFonts w:hint="eastAsia" w:ascii="仿宋_GB2312" w:hAnsi="仿宋" w:eastAsia="仿宋_GB2312" w:cs="仿宋"/>
          <w:color w:val="333333"/>
          <w:sz w:val="32"/>
          <w:szCs w:val="32"/>
          <w:shd w:val="clear" w:color="auto" w:fill="FFFFFF"/>
        </w:rPr>
        <w:t>万人以上；</w:t>
      </w:r>
    </w:p>
    <w:p w14:paraId="200708B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（3）因灾死亡或可能死亡</w:t>
      </w:r>
      <w:r>
        <w:rPr>
          <w:rFonts w:ascii="仿宋_GB2312" w:hAnsi="仿宋" w:eastAsia="仿宋_GB2312" w:cs="仿宋"/>
          <w:color w:val="333333"/>
          <w:sz w:val="32"/>
          <w:szCs w:val="32"/>
          <w:shd w:val="clear" w:color="auto" w:fill="FFFFFF"/>
        </w:rPr>
        <w:t>1</w:t>
      </w:r>
      <w:r>
        <w:rPr>
          <w:rFonts w:hint="eastAsia" w:ascii="仿宋_GB2312" w:hAnsi="仿宋" w:eastAsia="仿宋_GB2312" w:cs="仿宋"/>
          <w:color w:val="333333"/>
          <w:sz w:val="32"/>
          <w:szCs w:val="32"/>
          <w:shd w:val="clear" w:color="auto" w:fill="FFFFFF"/>
        </w:rPr>
        <w:t>0人以上（含本数，下同）；</w:t>
      </w:r>
    </w:p>
    <w:p w14:paraId="48E5A12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（4）因灾倒塌和严重损坏房屋</w:t>
      </w:r>
      <w:r>
        <w:rPr>
          <w:rFonts w:ascii="仿宋_GB2312" w:hAnsi="仿宋" w:eastAsia="仿宋_GB2312" w:cs="仿宋"/>
          <w:color w:val="333333"/>
          <w:sz w:val="32"/>
          <w:szCs w:val="32"/>
          <w:shd w:val="clear" w:color="auto" w:fill="FFFFFF"/>
        </w:rPr>
        <w:t>5000</w:t>
      </w:r>
      <w:r>
        <w:rPr>
          <w:rFonts w:hint="eastAsia" w:ascii="仿宋_GB2312" w:hAnsi="仿宋" w:eastAsia="仿宋_GB2312" w:cs="仿宋"/>
          <w:color w:val="333333"/>
          <w:sz w:val="32"/>
          <w:szCs w:val="32"/>
          <w:shd w:val="clear" w:color="auto" w:fill="FFFFFF"/>
        </w:rPr>
        <w:t>间以上；</w:t>
      </w:r>
    </w:p>
    <w:p w14:paraId="2C64451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（5）灾害造成群众生产生活资料遭受巨大损失、短期内失去收入来源、社会广泛关注；</w:t>
      </w:r>
    </w:p>
    <w:p w14:paraId="1DBC2B40">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.1.2启动程序</w:t>
      </w:r>
    </w:p>
    <w:p w14:paraId="56D3F53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根据预警和灾情程度，</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经分析评估，认定灾情达到启动标准，向</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提出启动I级响应建议，由</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lang w:val="en-US" w:eastAsia="zh-CN"/>
        </w:rPr>
        <w:t>主任</w:t>
      </w:r>
      <w:r>
        <w:rPr>
          <w:rFonts w:hint="eastAsia" w:ascii="仿宋_GB2312" w:hAnsi="仿宋" w:eastAsia="仿宋_GB2312" w:cs="仿宋"/>
          <w:color w:val="333333"/>
          <w:sz w:val="32"/>
          <w:szCs w:val="32"/>
          <w:shd w:val="clear" w:color="auto" w:fill="FFFFFF"/>
        </w:rPr>
        <w:t>决定启动I级响应，并向区委、区政府和市应急管理局报告。</w:t>
      </w:r>
    </w:p>
    <w:p w14:paraId="1C722275">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.1.3响应行动</w:t>
      </w:r>
    </w:p>
    <w:p w14:paraId="61A0AB2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当发生I级低温雨雪冰冻灾害时，</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lang w:val="en-US" w:eastAsia="zh-CN"/>
        </w:rPr>
        <w:t>相关成员单位</w:t>
      </w:r>
      <w:r>
        <w:rPr>
          <w:rFonts w:hint="eastAsia" w:ascii="仿宋_GB2312" w:hAnsi="仿宋" w:eastAsia="仿宋_GB2312" w:cs="仿宋"/>
          <w:color w:val="333333"/>
          <w:sz w:val="32"/>
          <w:szCs w:val="32"/>
          <w:shd w:val="clear" w:color="auto" w:fill="FFFFFF"/>
        </w:rPr>
        <w:t>实行集中办公，统一协调和指挥处置工作。</w:t>
      </w:r>
    </w:p>
    <w:p w14:paraId="3244F09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rPr>
        <w:t>（1）</w:t>
      </w:r>
      <w:r>
        <w:rPr>
          <w:rFonts w:hint="eastAsia" w:ascii="仿宋_GB2312" w:hAnsi="仿宋" w:eastAsia="仿宋_GB2312" w:cs="仿宋"/>
          <w:color w:val="333333"/>
          <w:sz w:val="32"/>
          <w:szCs w:val="32"/>
          <w:shd w:val="clear" w:color="auto" w:fill="FFFFFF"/>
          <w:lang w:val="en-US" w:eastAsia="zh-CN"/>
        </w:rPr>
        <w:t>区安委会</w:t>
      </w:r>
      <w:r>
        <w:rPr>
          <w:rFonts w:hint="eastAsia" w:ascii="仿宋_GB2312" w:hAnsi="仿宋" w:eastAsia="仿宋_GB2312" w:cs="仿宋"/>
          <w:color w:val="333333"/>
          <w:sz w:val="32"/>
          <w:szCs w:val="32"/>
          <w:shd w:val="clear" w:color="auto" w:fill="FFFFFF"/>
          <w:lang w:eastAsia="zh-CN"/>
        </w:rPr>
        <w:t>主任全面指挥全</w:t>
      </w:r>
      <w:r>
        <w:rPr>
          <w:rFonts w:hint="eastAsia" w:ascii="仿宋_GB2312" w:hAnsi="仿宋" w:eastAsia="仿宋_GB2312" w:cs="仿宋"/>
          <w:color w:val="333333"/>
          <w:sz w:val="32"/>
          <w:szCs w:val="32"/>
          <w:shd w:val="clear" w:color="auto" w:fill="FFFFFF"/>
          <w:lang w:val="en-US" w:eastAsia="zh-CN"/>
        </w:rPr>
        <w:t>区</w:t>
      </w:r>
      <w:r>
        <w:rPr>
          <w:rFonts w:hint="eastAsia" w:ascii="仿宋_GB2312" w:hAnsi="仿宋" w:eastAsia="仿宋_GB2312" w:cs="仿宋"/>
          <w:color w:val="333333"/>
          <w:sz w:val="32"/>
          <w:szCs w:val="32"/>
          <w:shd w:val="clear" w:color="auto" w:fill="FFFFFF"/>
          <w:lang w:eastAsia="zh-CN"/>
        </w:rPr>
        <w:t>低温雨雪冰冻灾害防范应对工作，组织召开全</w:t>
      </w:r>
      <w:r>
        <w:rPr>
          <w:rFonts w:hint="eastAsia" w:ascii="仿宋_GB2312" w:hAnsi="仿宋" w:eastAsia="仿宋_GB2312" w:cs="仿宋"/>
          <w:color w:val="333333"/>
          <w:sz w:val="32"/>
          <w:szCs w:val="32"/>
          <w:shd w:val="clear" w:color="auto" w:fill="FFFFFF"/>
          <w:lang w:val="en-US" w:eastAsia="zh-CN"/>
        </w:rPr>
        <w:t>区</w:t>
      </w:r>
      <w:r>
        <w:rPr>
          <w:rFonts w:hint="eastAsia" w:ascii="仿宋_GB2312" w:hAnsi="仿宋" w:eastAsia="仿宋_GB2312" w:cs="仿宋"/>
          <w:color w:val="333333"/>
          <w:sz w:val="32"/>
          <w:szCs w:val="32"/>
          <w:shd w:val="clear" w:color="auto" w:fill="FFFFFF"/>
          <w:lang w:eastAsia="zh-CN"/>
        </w:rPr>
        <w:t>紧急会议，了解掌握险情灾情等重要信息，会商研判防灾减灾救灾形势，研究部署防范应对重大事项。</w:t>
      </w:r>
    </w:p>
    <w:p w14:paraId="13A9549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rPr>
        <w:t>（2）</w:t>
      </w:r>
      <w:r>
        <w:rPr>
          <w:rFonts w:hint="eastAsia" w:ascii="仿宋_GB2312" w:hAnsi="仿宋" w:eastAsia="仿宋_GB2312" w:cs="仿宋"/>
          <w:color w:val="333333"/>
          <w:sz w:val="32"/>
          <w:szCs w:val="32"/>
          <w:shd w:val="clear" w:color="auto" w:fill="FFFFFF"/>
          <w:lang w:val="en-US" w:eastAsia="zh-CN"/>
        </w:rPr>
        <w:t>区安委会</w:t>
      </w:r>
      <w:r>
        <w:rPr>
          <w:rFonts w:hint="eastAsia" w:ascii="仿宋_GB2312" w:hAnsi="仿宋" w:eastAsia="仿宋_GB2312" w:cs="仿宋"/>
          <w:color w:val="333333"/>
          <w:sz w:val="32"/>
          <w:szCs w:val="32"/>
          <w:shd w:val="clear" w:color="auto" w:fill="FFFFFF"/>
          <w:lang w:eastAsia="zh-CN"/>
        </w:rPr>
        <w:t>主任或其安排的副主任带领有关部门赶赴受灾一线靠前指挥，督促指导应对处置工作。</w:t>
      </w:r>
      <w:r>
        <w:rPr>
          <w:rFonts w:hint="eastAsia" w:ascii="仿宋_GB2312" w:hAnsi="仿宋" w:eastAsia="仿宋_GB2312" w:cs="仿宋"/>
          <w:color w:val="333333"/>
          <w:sz w:val="32"/>
          <w:szCs w:val="32"/>
          <w:shd w:val="clear" w:color="auto" w:fill="FFFFFF"/>
          <w:lang w:val="en-US" w:eastAsia="zh-CN"/>
        </w:rPr>
        <w:t>区安委会</w:t>
      </w:r>
      <w:r>
        <w:rPr>
          <w:rFonts w:hint="eastAsia" w:ascii="仿宋_GB2312" w:hAnsi="仿宋" w:eastAsia="仿宋_GB2312" w:cs="仿宋"/>
          <w:color w:val="333333"/>
          <w:sz w:val="32"/>
          <w:szCs w:val="32"/>
          <w:shd w:val="clear" w:color="auto" w:fill="FFFFFF"/>
          <w:lang w:eastAsia="zh-CN"/>
        </w:rPr>
        <w:t>主任或其安排的副主任在</w:t>
      </w:r>
      <w:r>
        <w:rPr>
          <w:rFonts w:hint="eastAsia" w:ascii="仿宋_GB2312" w:hAnsi="仿宋" w:eastAsia="仿宋_GB2312" w:cs="仿宋"/>
          <w:color w:val="333333"/>
          <w:sz w:val="32"/>
          <w:szCs w:val="32"/>
          <w:shd w:val="clear" w:color="auto" w:fill="FFFFFF"/>
          <w:lang w:val="en-US" w:eastAsia="zh-CN"/>
        </w:rPr>
        <w:t>区</w:t>
      </w:r>
      <w:r>
        <w:rPr>
          <w:rFonts w:hint="eastAsia" w:ascii="仿宋_GB2312" w:hAnsi="仿宋" w:eastAsia="仿宋_GB2312" w:cs="仿宋"/>
          <w:color w:val="333333"/>
          <w:sz w:val="32"/>
          <w:szCs w:val="32"/>
          <w:shd w:val="clear" w:color="auto" w:fill="FFFFFF"/>
          <w:lang w:eastAsia="zh-CN"/>
        </w:rPr>
        <w:t>应急指挥中心坐镇指挥，根据险情、灾情发展变化，滚动会商调度。</w:t>
      </w:r>
      <w:r>
        <w:rPr>
          <w:rFonts w:hint="eastAsia" w:ascii="仿宋_GB2312" w:hAnsi="仿宋" w:eastAsia="仿宋_GB2312" w:cs="仿宋"/>
          <w:color w:val="333333"/>
          <w:sz w:val="32"/>
          <w:szCs w:val="32"/>
          <w:shd w:val="clear" w:color="auto" w:fill="FFFFFF"/>
          <w:lang w:val="en-US" w:eastAsia="zh-CN"/>
        </w:rPr>
        <w:t>区安委会视情</w:t>
      </w:r>
      <w:r>
        <w:rPr>
          <w:rFonts w:hint="eastAsia" w:ascii="仿宋_GB2312" w:hAnsi="仿宋" w:eastAsia="仿宋_GB2312" w:cs="仿宋"/>
          <w:color w:val="333333"/>
          <w:sz w:val="32"/>
          <w:szCs w:val="32"/>
          <w:shd w:val="clear" w:color="auto" w:fill="FFFFFF"/>
          <w:lang w:eastAsia="zh-CN"/>
        </w:rPr>
        <w:t>成立灾害应对指挥部，启动“7+N”工作组（综合协调组、救援救灾组、要素供应保障组、交通运输保障组、治安维稳组、医疗卫生组、宣传报道组和其他工作组），各成员单位加强协同联动，按照职能职责分工全力开展监测预报预警、隐患排查治理、抢修抢通保畅、人员疏散转移和安置救助、医疗救治和卫生防疫、舆情引导等工作，保障救灾物资、民生商品供应，确保水气电等运行安全、社会治安和市场秩序稳定。</w:t>
      </w:r>
    </w:p>
    <w:p w14:paraId="3AB9EAE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（3）</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组织成员单位联合办公，及时掌握灾情和救灾工作动态信息，组织灾情会商，按照有关规定统一发布灾情，及时发布灾区需求；做好灾情、灾区需求及救灾工作动态等信息共享，每日向区委、区政府及市减灾委报告有关情况。必要时，组织专家进行实时灾情、灾情发展趋势以及灾区需求评估，向市委、市政府请求支持。</w:t>
      </w:r>
    </w:p>
    <w:p w14:paraId="0974D30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（4）</w:t>
      </w:r>
      <w:r>
        <w:rPr>
          <w:rFonts w:hint="eastAsia" w:ascii="仿宋_GB2312" w:hAnsi="仿宋" w:eastAsia="仿宋_GB2312" w:cs="仿宋"/>
          <w:color w:val="333333"/>
          <w:sz w:val="32"/>
          <w:szCs w:val="32"/>
          <w:shd w:val="clear" w:color="auto" w:fill="FFFFFF"/>
          <w:lang w:eastAsia="zh-CN"/>
        </w:rPr>
        <w:t>组织解救疏散、转移安置被困和滞留公路、车站、景区等人员，提供食物、水等基本生活物资，做好生活保障。加强道路交通疏导和车辆分流，保障抢险救援救灾车辆优先通行。调配医疗卫生救援队伍、专家和应急救灾药品，开展医疗救治和心理援助，组织卫生防疫工作。</w:t>
      </w:r>
    </w:p>
    <w:p w14:paraId="61D118E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（5）</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工作组分别由牵头部门召集，实行联合办公，按照职责分工迅速开展工作，确定专人24小时值班，向社会公布各工作组热线电话。</w:t>
      </w:r>
    </w:p>
    <w:p w14:paraId="2DB5097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6）灾害发生后，区应急管理局会商区财政局按规定程序及时下拨自然灾害救灾资金；调拨救灾物资，指导、监督基层救灾应急措施落实和救灾款物发放；协调交通运输等部门紧急调运救灾物资、运输人员工作。</w:t>
      </w:r>
    </w:p>
    <w:p w14:paraId="1539193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（7）</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有关成员单位根据灾情发展和核定情况，积极申请上级资金和物资支持。</w:t>
      </w:r>
    </w:p>
    <w:p w14:paraId="4A89E811">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（8）</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各成员单位认真落实区委、区政府的有关要求，全力以赴做好应对工作，</w:t>
      </w:r>
      <w:r>
        <w:rPr>
          <w:rFonts w:hint="eastAsia" w:ascii="仿宋_GB2312" w:hAnsi="仿宋" w:eastAsia="仿宋_GB2312" w:cs="仿宋"/>
          <w:color w:val="333333"/>
          <w:sz w:val="32"/>
          <w:szCs w:val="32"/>
          <w:shd w:val="clear" w:color="auto" w:fill="FFFFFF"/>
          <w:lang w:eastAsia="zh-CN"/>
        </w:rPr>
        <w:t>淮北市公安局烈山分局</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lang w:eastAsia="zh-CN"/>
        </w:rPr>
        <w:t>烈山交通管理大队</w:t>
      </w:r>
      <w:r>
        <w:rPr>
          <w:rFonts w:hint="eastAsia" w:ascii="仿宋_GB2312" w:hAnsi="仿宋" w:eastAsia="仿宋_GB2312" w:cs="仿宋"/>
          <w:color w:val="333333"/>
          <w:sz w:val="32"/>
          <w:szCs w:val="32"/>
          <w:shd w:val="clear" w:color="auto" w:fill="FFFFFF"/>
        </w:rPr>
        <w:t>加强灾区社会治安和道路交通应急管理，协助组织灾区群众紧急转移。根据区委、区政府申请，区人武部组织协调民兵、预备役部队等参加救灾，必要时协助地方人民政府运送、发放救灾物资。区发展和改革委员会、区农业农村水利局、区商务局等保障市场供应和价格稳定。区科技经济和信息化局组织基础电信运营企业做好应急通信保障工作；承担区级医药储备管理，参与协调有关救灾装备调配。区住房和城乡建设局指导灾后房屋建筑和市政基础设施工程的安全应急评估等工作。区农业农村水利局指导灾区水利工程修复、水利行业供水和镇（街道）应急供水工作，区卫生健康委员会及时组织医疗卫生队伍赴灾区协助开展医疗救治、灾后防疫和心理援助等卫生应急工作。区科技经济和信息化局提供科技方面的综合咨询建议，协调适用于灾区救灾的科技成果支持救灾工作。市自然资源和规划局烈山分局准备灾区地理信息数据，组织灾区现场影像获取等应急测绘，开展灾情监测和空间分析，提供应急测绘保障服务。区生态环境分局及时组织指导因灾害导致的生态环境污染的应急监测。区委宣传部、区文化旅游体育局等组织做好新闻宣传和舆论引导等工作，区应急管理局向社会发布接受救灾捐赠公告，组织开展跨县（区）救灾捐赠活动，统一接收、管理、分配救灾捐赠款物，会同区民政局指导社会组织、志愿者等社会力量有序参与灾害救助工作。</w:t>
      </w:r>
    </w:p>
    <w:p w14:paraId="2798A2C7">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（9）各镇（街道）按照属地管理原则，承担本行政区域内的抗雪防冻救灾工作。受灾地区各镇（街道）主要负责人直接到一线指挥，重要情况报</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，由</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向市应急指挥部报告，积极组织相关部门和发动群众清除本行政区域内的道路积雪，保持道路畅通，做好供水、供电、供气、通信等保障工作。必要时，部分受灾较重镇（街道）可向</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报告，由</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向区政府请示，按照相关规定申请区人武部协调民兵、预备役协助参加抗雪防冻救灾工作。</w:t>
      </w:r>
    </w:p>
    <w:p w14:paraId="25A97487">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（10）灾情稳定后，根据上级有关工作部署，组织开展灾害损失综合评估工作，按有关规定统一发布自然灾害损失情况。</w:t>
      </w:r>
    </w:p>
    <w:p w14:paraId="70E8166A">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（11）应急指挥部其他成员单位按照职责分工，做好有关工作。</w:t>
      </w:r>
    </w:p>
    <w:p w14:paraId="12B0C344">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.1.4响应终止</w:t>
      </w:r>
    </w:p>
    <w:p w14:paraId="223FCAC4">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灾情和应急救灾工作稳定后，由</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lang w:val="en-US" w:eastAsia="zh-CN"/>
        </w:rPr>
        <w:t>主任</w:t>
      </w:r>
      <w:r>
        <w:rPr>
          <w:rFonts w:hint="eastAsia" w:ascii="仿宋_GB2312" w:hAnsi="仿宋" w:eastAsia="仿宋_GB2312" w:cs="仿宋"/>
          <w:color w:val="333333"/>
          <w:sz w:val="32"/>
          <w:szCs w:val="32"/>
          <w:shd w:val="clear" w:color="auto" w:fill="FFFFFF"/>
        </w:rPr>
        <w:t>宣布终止I级响应。</w:t>
      </w:r>
    </w:p>
    <w:p w14:paraId="04528A7D">
      <w:pPr>
        <w:pStyle w:val="4"/>
        <w:keepNext w:val="0"/>
        <w:keepLines w:val="0"/>
        <w:pageBreakBefore w:val="0"/>
        <w:widowControl w:val="0"/>
        <w:shd w:val="clear"/>
        <w:kinsoku/>
        <w:wordWrap/>
        <w:overflowPunct/>
        <w:topLinePunct w:val="0"/>
        <w:autoSpaceDE/>
        <w:autoSpaceDN/>
        <w:bidi w:val="0"/>
        <w:adjustRightInd/>
        <w:snapToGrid/>
        <w:spacing w:line="540" w:lineRule="exact"/>
        <w:ind w:firstLine="643"/>
        <w:jc w:val="both"/>
        <w:textAlignment w:val="auto"/>
      </w:pPr>
      <w:bookmarkStart w:id="41" w:name="_Toc12955"/>
      <w:bookmarkStart w:id="42" w:name="_Toc15614"/>
      <w:r>
        <w:rPr>
          <w:rFonts w:hint="eastAsia"/>
          <w:lang w:val="en-US" w:eastAsia="zh-CN"/>
        </w:rPr>
        <w:t>4</w:t>
      </w:r>
      <w:r>
        <w:rPr>
          <w:rFonts w:hint="eastAsia"/>
        </w:rPr>
        <w:t>.2II级响应</w:t>
      </w:r>
      <w:bookmarkEnd w:id="41"/>
      <w:bookmarkEnd w:id="42"/>
    </w:p>
    <w:p w14:paraId="6D97833F">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.2.1启动条件</w:t>
      </w:r>
    </w:p>
    <w:p w14:paraId="6892FDAC">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区应急管理局已发布预警或专报等，且一次低温雨雪冰冻灾害过程，造成下列情形之一的，视为重大低温雨雪冰冻灾害，启动II级响应。</w:t>
      </w:r>
    </w:p>
    <w:p w14:paraId="6A1A9E0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（1）区境内1／2的高速公路和国省干道交通中断24小时以上；</w:t>
      </w:r>
    </w:p>
    <w:p w14:paraId="1A2C632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（2）因灾紧急转移安置或需紧急生活救助</w:t>
      </w:r>
      <w:r>
        <w:rPr>
          <w:rFonts w:ascii="仿宋_GB2312" w:hAnsi="仿宋" w:eastAsia="仿宋_GB2312" w:cs="仿宋"/>
          <w:color w:val="333333"/>
          <w:sz w:val="32"/>
          <w:szCs w:val="32"/>
          <w:shd w:val="clear" w:color="auto" w:fill="FFFFFF"/>
        </w:rPr>
        <w:t>3000</w:t>
      </w:r>
      <w:r>
        <w:rPr>
          <w:rFonts w:hint="eastAsia" w:ascii="仿宋_GB2312" w:hAnsi="仿宋" w:eastAsia="仿宋_GB2312" w:cs="仿宋"/>
          <w:color w:val="333333"/>
          <w:sz w:val="32"/>
          <w:szCs w:val="32"/>
          <w:shd w:val="clear" w:color="auto" w:fill="FFFFFF"/>
        </w:rPr>
        <w:t>人以上，</w:t>
      </w:r>
      <w:r>
        <w:rPr>
          <w:rFonts w:ascii="仿宋_GB2312" w:hAnsi="仿宋" w:eastAsia="仿宋_GB2312" w:cs="仿宋"/>
          <w:color w:val="333333"/>
          <w:sz w:val="32"/>
          <w:szCs w:val="32"/>
          <w:shd w:val="clear" w:color="auto" w:fill="FFFFFF"/>
        </w:rPr>
        <w:t>1</w:t>
      </w:r>
      <w:r>
        <w:rPr>
          <w:rFonts w:hint="eastAsia" w:ascii="仿宋_GB2312" w:hAnsi="仿宋" w:eastAsia="仿宋_GB2312" w:cs="仿宋"/>
          <w:color w:val="333333"/>
          <w:sz w:val="32"/>
          <w:szCs w:val="32"/>
          <w:shd w:val="clear" w:color="auto" w:fill="FFFFFF"/>
        </w:rPr>
        <w:t>万人以下；</w:t>
      </w:r>
    </w:p>
    <w:p w14:paraId="33E3CFD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（3）因灾死亡或可能死亡</w:t>
      </w:r>
      <w:r>
        <w:rPr>
          <w:rFonts w:ascii="仿宋_GB2312" w:hAnsi="仿宋" w:eastAsia="仿宋_GB2312" w:cs="仿宋"/>
          <w:color w:val="333333"/>
          <w:sz w:val="32"/>
          <w:szCs w:val="32"/>
          <w:shd w:val="clear" w:color="auto" w:fill="FFFFFF"/>
        </w:rPr>
        <w:t>5</w:t>
      </w:r>
      <w:r>
        <w:rPr>
          <w:rFonts w:hint="eastAsia" w:ascii="仿宋_GB2312" w:hAnsi="仿宋" w:eastAsia="仿宋_GB2312" w:cs="仿宋"/>
          <w:color w:val="333333"/>
          <w:sz w:val="32"/>
          <w:szCs w:val="32"/>
          <w:shd w:val="clear" w:color="auto" w:fill="FFFFFF"/>
        </w:rPr>
        <w:t>人以上，</w:t>
      </w:r>
      <w:r>
        <w:rPr>
          <w:rFonts w:ascii="仿宋_GB2312" w:hAnsi="仿宋" w:eastAsia="仿宋_GB2312" w:cs="仿宋"/>
          <w:color w:val="333333"/>
          <w:sz w:val="32"/>
          <w:szCs w:val="32"/>
          <w:shd w:val="clear" w:color="auto" w:fill="FFFFFF"/>
        </w:rPr>
        <w:t>1</w:t>
      </w:r>
      <w:r>
        <w:rPr>
          <w:rFonts w:hint="eastAsia" w:ascii="仿宋_GB2312" w:hAnsi="仿宋" w:eastAsia="仿宋_GB2312" w:cs="仿宋"/>
          <w:color w:val="333333"/>
          <w:sz w:val="32"/>
          <w:szCs w:val="32"/>
          <w:shd w:val="clear" w:color="auto" w:fill="FFFFFF"/>
        </w:rPr>
        <w:t>0人以下；</w:t>
      </w:r>
    </w:p>
    <w:p w14:paraId="45AA3A2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（4）因灾倒塌和严重损坏房屋</w:t>
      </w:r>
      <w:r>
        <w:rPr>
          <w:rFonts w:ascii="仿宋_GB2312" w:hAnsi="仿宋" w:eastAsia="仿宋_GB2312" w:cs="仿宋"/>
          <w:color w:val="333333"/>
          <w:sz w:val="32"/>
          <w:szCs w:val="32"/>
          <w:shd w:val="clear" w:color="auto" w:fill="FFFFFF"/>
        </w:rPr>
        <w:t>3</w:t>
      </w:r>
      <w:r>
        <w:rPr>
          <w:rFonts w:hint="eastAsia" w:ascii="仿宋_GB2312" w:hAnsi="仿宋" w:eastAsia="仿宋_GB2312" w:cs="仿宋"/>
          <w:color w:val="333333"/>
          <w:sz w:val="32"/>
          <w:szCs w:val="32"/>
          <w:shd w:val="clear" w:color="auto" w:fill="FFFFFF"/>
        </w:rPr>
        <w:t>000间以上，</w:t>
      </w:r>
      <w:r>
        <w:rPr>
          <w:rFonts w:ascii="仿宋_GB2312" w:hAnsi="仿宋" w:eastAsia="仿宋_GB2312" w:cs="仿宋"/>
          <w:color w:val="333333"/>
          <w:sz w:val="32"/>
          <w:szCs w:val="32"/>
          <w:shd w:val="clear" w:color="auto" w:fill="FFFFFF"/>
        </w:rPr>
        <w:t>5000</w:t>
      </w:r>
      <w:r>
        <w:rPr>
          <w:rFonts w:hint="eastAsia" w:ascii="仿宋_GB2312" w:hAnsi="仿宋" w:eastAsia="仿宋_GB2312" w:cs="仿宋"/>
          <w:color w:val="333333"/>
          <w:sz w:val="32"/>
          <w:szCs w:val="32"/>
          <w:shd w:val="clear" w:color="auto" w:fill="FFFFFF"/>
        </w:rPr>
        <w:t>间以下；</w:t>
      </w:r>
    </w:p>
    <w:p w14:paraId="2E87024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（5）灾害造成群众生产生活资料遭受重大损失、短期内失去收入来源、社会高度关注。</w:t>
      </w:r>
    </w:p>
    <w:p w14:paraId="0C702D07">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.2.2启动程序</w:t>
      </w:r>
    </w:p>
    <w:p w14:paraId="467C0BF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灾害发生后，</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经分析评估，认定灾情达到启动标准，向</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提出启动II级响应的建议，</w:t>
      </w:r>
      <w:r>
        <w:rPr>
          <w:rFonts w:hint="eastAsia" w:ascii="仿宋_GB2312" w:hAnsi="仿宋" w:eastAsia="仿宋_GB2312" w:cs="仿宋"/>
          <w:color w:val="333333"/>
          <w:sz w:val="32"/>
          <w:szCs w:val="32"/>
          <w:shd w:val="clear" w:color="auto" w:fill="FFFFFF"/>
          <w:lang w:val="en-US" w:eastAsia="zh-CN"/>
        </w:rPr>
        <w:t>区安委会主任</w:t>
      </w:r>
      <w:r>
        <w:rPr>
          <w:rFonts w:hint="eastAsia" w:ascii="仿宋_GB2312" w:hAnsi="仿宋" w:eastAsia="仿宋_GB2312" w:cs="仿宋"/>
          <w:color w:val="333333"/>
          <w:sz w:val="32"/>
          <w:szCs w:val="32"/>
          <w:shd w:val="clear" w:color="auto" w:fill="FFFFFF"/>
        </w:rPr>
        <w:t>决定启动II级响应，并向区委、区政府和市应急管理局报告。</w:t>
      </w:r>
    </w:p>
    <w:p w14:paraId="1FE47CFE">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.2.3响应行动</w:t>
      </w:r>
    </w:p>
    <w:p w14:paraId="1B9BE9D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当发生II级以上（含II级）低温雨雪冰冻灾害时，</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协调各成员单位，共同做好应对和处置工作。</w:t>
      </w:r>
    </w:p>
    <w:p w14:paraId="0E332A1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rPr>
        <w:t>（1）</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lang w:val="en-US" w:eastAsia="zh-CN"/>
        </w:rPr>
        <w:t>主</w:t>
      </w:r>
      <w:r>
        <w:rPr>
          <w:rFonts w:hint="eastAsia" w:ascii="仿宋_GB2312" w:hAnsi="仿宋" w:eastAsia="仿宋_GB2312" w:cs="仿宋"/>
          <w:color w:val="333333"/>
          <w:sz w:val="32"/>
          <w:szCs w:val="32"/>
          <w:shd w:val="clear" w:color="auto" w:fill="FFFFFF"/>
          <w:lang w:eastAsia="zh-CN"/>
        </w:rPr>
        <w:t>任全面指挥全区低温雨雪冰冻灾害防范应对工作，组织召开调度会议，了解掌握险情灾情等重要信息，会商研判防灾减灾救灾形势，研究部署防范应对重大事项。</w:t>
      </w:r>
    </w:p>
    <w:p w14:paraId="5EF64D0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rPr>
        <w:t>（2）</w:t>
      </w:r>
      <w:r>
        <w:rPr>
          <w:rFonts w:hint="eastAsia" w:ascii="仿宋_GB2312" w:hAnsi="仿宋" w:eastAsia="仿宋_GB2312" w:cs="仿宋"/>
          <w:color w:val="333333"/>
          <w:sz w:val="32"/>
          <w:szCs w:val="32"/>
          <w:shd w:val="clear" w:color="auto" w:fill="FFFFFF"/>
          <w:lang w:eastAsia="zh-CN"/>
        </w:rPr>
        <w:t>区安委会主任或其安排的副主任带领有关部门赶赴受灾一线靠前指挥，督促指导应对处置工作。区安委会其他副主任在后方坐镇指挥，根据险情、灾情发展变化，滚动会商调度。区安委会成立灾害应对指挥部，启动“7+N”工作组，各成员单位加强协同联动，按照职能职责分工全力开展监测预报预警、隐患排查治理、生产生活要素抢修抢通保畅、人员疏散转移和安置救助、灾区医疗救治和卫生防疫等工作，保障救灾物资、民生商品供应，确保水气电等运行安全、社会治安和市场秩序稳定。</w:t>
      </w:r>
    </w:p>
    <w:p w14:paraId="3F669C2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eastAsia="zh-CN"/>
        </w:rPr>
      </w:pPr>
      <w:r>
        <w:rPr>
          <w:rFonts w:hint="eastAsia" w:ascii="仿宋_GB2312" w:hAnsi="仿宋" w:eastAsia="仿宋_GB2312" w:cs="仿宋"/>
          <w:color w:val="333333"/>
          <w:sz w:val="32"/>
          <w:szCs w:val="32"/>
          <w:shd w:val="clear" w:color="auto" w:fill="FFFFFF"/>
        </w:rPr>
        <w:t>（3）</w:t>
      </w:r>
      <w:r>
        <w:rPr>
          <w:rFonts w:hint="eastAsia" w:ascii="仿宋_GB2312" w:hAnsi="仿宋" w:eastAsia="仿宋_GB2312" w:cs="仿宋"/>
          <w:color w:val="333333"/>
          <w:sz w:val="32"/>
          <w:szCs w:val="32"/>
          <w:shd w:val="clear" w:color="auto" w:fill="FFFFFF"/>
          <w:lang w:eastAsia="zh-CN"/>
        </w:rPr>
        <w:t>组织解救疏散、转移安置被困和滞留公路、车站、景区等人员，提供食物、水等基本生活物资，做好生活保障。加强道路交通疏导和车辆分流，保障抢险救援救灾车辆优先通行。调配医疗卫生救援队伍、专家和应急救灾药品，开展医疗救治和心理援助，组织卫生防疫工作。</w:t>
      </w:r>
    </w:p>
    <w:p w14:paraId="35C3EED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（4）</w:t>
      </w:r>
      <w:r>
        <w:rPr>
          <w:rFonts w:hint="eastAsia" w:ascii="仿宋_GB2312" w:hAnsi="仿宋" w:eastAsia="仿宋_GB2312" w:cs="仿宋"/>
          <w:color w:val="333333"/>
          <w:sz w:val="32"/>
          <w:szCs w:val="32"/>
          <w:shd w:val="clear" w:color="auto" w:fill="FFFFFF"/>
          <w:lang w:eastAsia="zh-CN"/>
        </w:rPr>
        <w:t>区安委会工作组各成员单位派员入驻</w:t>
      </w:r>
      <w:r>
        <w:rPr>
          <w:rFonts w:hint="eastAsia" w:ascii="仿宋_GB2312" w:hAnsi="仿宋" w:eastAsia="仿宋_GB2312" w:cs="仿宋"/>
          <w:color w:val="333333"/>
          <w:sz w:val="32"/>
          <w:szCs w:val="32"/>
          <w:shd w:val="clear" w:color="auto" w:fill="FFFFFF"/>
          <w:lang w:val="en-US" w:eastAsia="zh-CN"/>
        </w:rPr>
        <w:t>区</w:t>
      </w:r>
      <w:r>
        <w:rPr>
          <w:rFonts w:hint="eastAsia" w:ascii="仿宋_GB2312" w:hAnsi="仿宋" w:eastAsia="仿宋_GB2312" w:cs="仿宋"/>
          <w:color w:val="333333"/>
          <w:sz w:val="32"/>
          <w:szCs w:val="32"/>
          <w:shd w:val="clear" w:color="auto" w:fill="FFFFFF"/>
          <w:lang w:eastAsia="zh-CN"/>
        </w:rPr>
        <w:t>应急指挥中心集中值守办公，负责协调、跟踪、处理、报告本单位相关工作，动态掌握灾情险情，为指挥决策提供支撑，及时汇总信息上报</w:t>
      </w:r>
      <w:r>
        <w:rPr>
          <w:rFonts w:hint="eastAsia" w:ascii="仿宋_GB2312" w:hAnsi="仿宋" w:eastAsia="仿宋_GB2312" w:cs="仿宋"/>
          <w:color w:val="333333"/>
          <w:sz w:val="32"/>
          <w:szCs w:val="32"/>
          <w:shd w:val="clear" w:color="auto" w:fill="FFFFFF"/>
          <w:lang w:val="en-US" w:eastAsia="zh-CN"/>
        </w:rPr>
        <w:t>区委</w:t>
      </w:r>
      <w:r>
        <w:rPr>
          <w:rFonts w:hint="eastAsia" w:ascii="仿宋_GB2312" w:hAnsi="仿宋" w:eastAsia="仿宋_GB2312" w:cs="仿宋"/>
          <w:color w:val="333333"/>
          <w:sz w:val="32"/>
          <w:szCs w:val="32"/>
          <w:shd w:val="clear" w:color="auto" w:fill="FFFFFF"/>
          <w:lang w:eastAsia="zh-CN"/>
        </w:rPr>
        <w:t>、</w:t>
      </w:r>
      <w:r>
        <w:rPr>
          <w:rFonts w:hint="eastAsia" w:ascii="仿宋_GB2312" w:hAnsi="仿宋" w:eastAsia="仿宋_GB2312" w:cs="仿宋"/>
          <w:color w:val="333333"/>
          <w:sz w:val="32"/>
          <w:szCs w:val="32"/>
          <w:shd w:val="clear" w:color="auto" w:fill="FFFFFF"/>
          <w:lang w:val="en-US" w:eastAsia="zh-CN"/>
        </w:rPr>
        <w:t>区</w:t>
      </w:r>
      <w:r>
        <w:rPr>
          <w:rFonts w:hint="eastAsia" w:ascii="仿宋_GB2312" w:hAnsi="仿宋" w:eastAsia="仿宋_GB2312" w:cs="仿宋"/>
          <w:color w:val="333333"/>
          <w:sz w:val="32"/>
          <w:szCs w:val="32"/>
          <w:shd w:val="clear" w:color="auto" w:fill="FFFFFF"/>
          <w:lang w:eastAsia="zh-CN"/>
        </w:rPr>
        <w:t>政府和</w:t>
      </w:r>
      <w:r>
        <w:rPr>
          <w:rFonts w:hint="eastAsia" w:ascii="仿宋_GB2312" w:hAnsi="仿宋" w:eastAsia="仿宋_GB2312" w:cs="仿宋"/>
          <w:color w:val="333333"/>
          <w:sz w:val="32"/>
          <w:szCs w:val="32"/>
          <w:shd w:val="clear" w:color="auto" w:fill="FFFFFF"/>
          <w:lang w:val="en-US" w:eastAsia="zh-CN"/>
        </w:rPr>
        <w:t>市安全生产（</w:t>
      </w:r>
      <w:r>
        <w:rPr>
          <w:rFonts w:hint="eastAsia" w:ascii="仿宋_GB2312" w:hAnsi="仿宋" w:eastAsia="仿宋_GB2312" w:cs="仿宋"/>
          <w:color w:val="333333"/>
          <w:sz w:val="32"/>
          <w:szCs w:val="32"/>
          <w:shd w:val="clear" w:color="auto" w:fill="FFFFFF"/>
          <w:lang w:eastAsia="zh-CN"/>
        </w:rPr>
        <w:t>防灾减灾救灾</w:t>
      </w:r>
      <w:r>
        <w:rPr>
          <w:rFonts w:hint="eastAsia" w:ascii="仿宋_GB2312" w:hAnsi="仿宋" w:eastAsia="仿宋_GB2312" w:cs="仿宋"/>
          <w:color w:val="333333"/>
          <w:sz w:val="32"/>
          <w:szCs w:val="32"/>
          <w:shd w:val="clear" w:color="auto" w:fill="FFFFFF"/>
          <w:lang w:val="en-US" w:eastAsia="zh-CN"/>
        </w:rPr>
        <w:t>）</w:t>
      </w:r>
      <w:r>
        <w:rPr>
          <w:rFonts w:hint="eastAsia" w:ascii="仿宋_GB2312" w:hAnsi="仿宋" w:eastAsia="仿宋_GB2312" w:cs="仿宋"/>
          <w:color w:val="333333"/>
          <w:sz w:val="32"/>
          <w:szCs w:val="32"/>
          <w:shd w:val="clear" w:color="auto" w:fill="FFFFFF"/>
          <w:lang w:eastAsia="zh-CN"/>
        </w:rPr>
        <w:t>委员会。</w:t>
      </w:r>
    </w:p>
    <w:p w14:paraId="38AF3D3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5）灾害发生后，区应急管理局会商区财政局按规定程序及时下拨自然灾害救灾资金，会同区发展改革委紧急调拨救灾物资，指导、监督基层救灾应急措施落实和救灾款物发放；协调交通运输等部门紧急调运救灾物资、运输人员工作。</w:t>
      </w:r>
    </w:p>
    <w:p w14:paraId="35CB87B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（6）</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有关成员单位根据灾情发展和核定情况，积极申请上级资金和物资支持。</w:t>
      </w:r>
    </w:p>
    <w:p w14:paraId="5C23896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（7）</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各成员单位认真落实区委、区政府的有关要求，全力以赴做好应对工作。区卫生健康委员会根据需要，及时派出医疗卫生队伍赴灾区协助开展医疗救治、灾后防疫和心理援助等卫生应急工作。</w:t>
      </w:r>
      <w:r>
        <w:rPr>
          <w:rFonts w:hint="eastAsia" w:ascii="仿宋_GB2312" w:hAnsi="仿宋" w:eastAsia="仿宋_GB2312" w:cs="仿宋"/>
          <w:color w:val="333333"/>
          <w:sz w:val="32"/>
          <w:szCs w:val="32"/>
          <w:shd w:val="clear" w:color="auto" w:fill="FFFFFF"/>
          <w:lang w:eastAsia="zh-CN"/>
        </w:rPr>
        <w:t>淮北市自然资源和规划局烈山分局</w:t>
      </w:r>
      <w:r>
        <w:rPr>
          <w:rFonts w:hint="eastAsia" w:ascii="仿宋_GB2312" w:hAnsi="仿宋" w:eastAsia="仿宋_GB2312" w:cs="仿宋"/>
          <w:color w:val="333333"/>
          <w:sz w:val="32"/>
          <w:szCs w:val="32"/>
          <w:shd w:val="clear" w:color="auto" w:fill="FFFFFF"/>
        </w:rPr>
        <w:t>准备灾区地理信息数据，组织灾区现场影像获取等应急测绘，开展灾情监测和空间分析，提供应急测绘保障服务，区委宣传部、区文化旅游体育局等组织做好新闻宣传和舆论引导等工作。区应急管理局、区民政局指导社会组织、志愿者等社会力量有序参与灾害救助工作。根据本地人民政府请求，区人武部组织协调民兵、预备役部队等参加救灾，必要时协助本地人民政府运送、发放救灾物资。</w:t>
      </w:r>
    </w:p>
    <w:p w14:paraId="5A5ACDD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（8）各镇（街道）按照属地管理原则，承担本行政区域内的抗雪防冻救灾工作。受灾地区各级人民政府主要负责人直接到一线指挥，重要情况向</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报告，由</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向市应急指挥部报告，积极组织相关部门和发动群众清除本行政区域内的道路积雪，保持道路畅通，做好供水、供电、通信等保障工作。必要时，部分受灾较重镇（街道）可向</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报告，由</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向区政府请示</w:t>
      </w:r>
      <w:bookmarkStart w:id="43" w:name="_Hlk103888958"/>
      <w:r>
        <w:rPr>
          <w:rFonts w:hint="eastAsia" w:ascii="仿宋_GB2312" w:hAnsi="仿宋" w:eastAsia="仿宋_GB2312" w:cs="仿宋"/>
          <w:color w:val="333333"/>
          <w:sz w:val="32"/>
          <w:szCs w:val="32"/>
          <w:shd w:val="clear" w:color="auto" w:fill="FFFFFF"/>
        </w:rPr>
        <w:t>，按照相关规定申请区人武部协调民兵、预备役协助参加抗雪防冻救灾工作。</w:t>
      </w:r>
      <w:bookmarkEnd w:id="43"/>
    </w:p>
    <w:p w14:paraId="6896BAD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（9）灾情稳定后，根据上级有关工作部署，组织开展灾害损失综合评估工作，按有关规定统一发布自然灾害损失情况。</w:t>
      </w:r>
    </w:p>
    <w:p w14:paraId="798BBEB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（10）应急指挥部其他成员单位按照职责分工，做好有关工作。</w:t>
      </w:r>
    </w:p>
    <w:p w14:paraId="0120A484">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.2.4响应终止</w:t>
      </w:r>
    </w:p>
    <w:p w14:paraId="5C53FF3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灾情和应急救灾工作稳定后，由</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lang w:val="en-US" w:eastAsia="zh-CN"/>
        </w:rPr>
        <w:t>主任</w:t>
      </w:r>
      <w:r>
        <w:rPr>
          <w:rFonts w:hint="eastAsia" w:ascii="仿宋_GB2312" w:hAnsi="仿宋" w:eastAsia="仿宋_GB2312" w:cs="仿宋"/>
          <w:color w:val="333333"/>
          <w:sz w:val="32"/>
          <w:szCs w:val="32"/>
          <w:shd w:val="clear" w:color="auto" w:fill="FFFFFF"/>
        </w:rPr>
        <w:t>宣布终止II级响应。</w:t>
      </w:r>
    </w:p>
    <w:p w14:paraId="1D73DC92">
      <w:pPr>
        <w:pStyle w:val="4"/>
        <w:keepNext w:val="0"/>
        <w:keepLines w:val="0"/>
        <w:pageBreakBefore w:val="0"/>
        <w:shd w:val="clear"/>
        <w:kinsoku/>
        <w:wordWrap/>
        <w:overflowPunct/>
        <w:topLinePunct w:val="0"/>
        <w:autoSpaceDE/>
        <w:autoSpaceDN/>
        <w:bidi w:val="0"/>
        <w:adjustRightInd/>
        <w:snapToGrid/>
        <w:spacing w:line="560" w:lineRule="exact"/>
        <w:ind w:firstLine="643"/>
        <w:jc w:val="both"/>
      </w:pPr>
      <w:bookmarkStart w:id="44" w:name="_Toc23870"/>
      <w:bookmarkStart w:id="45" w:name="_Toc561"/>
      <w:r>
        <w:rPr>
          <w:rFonts w:hint="eastAsia"/>
          <w:lang w:val="en-US" w:eastAsia="zh-CN"/>
        </w:rPr>
        <w:t>4</w:t>
      </w:r>
      <w:r>
        <w:rPr>
          <w:rFonts w:hint="eastAsia"/>
        </w:rPr>
        <w:t>.3III级响应</w:t>
      </w:r>
      <w:bookmarkEnd w:id="44"/>
      <w:bookmarkEnd w:id="45"/>
    </w:p>
    <w:p w14:paraId="00E19353">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.3.1启动条件</w:t>
      </w:r>
    </w:p>
    <w:p w14:paraId="68DD992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区应急局已发布预警或专报等，且一次低温雨雪冰冻灾害过程，造成下列情形之一的，视为较大低温雨雪冰冻灾害，启动III级响应。</w:t>
      </w:r>
    </w:p>
    <w:p w14:paraId="1849BB1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（1）区境内1／3的高速公路和国省干道交通中断12小时以上；</w:t>
      </w:r>
    </w:p>
    <w:p w14:paraId="5F9A8C8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（2）因灾紧急转移安置群众或需紧急生活救助</w:t>
      </w:r>
      <w:r>
        <w:rPr>
          <w:rFonts w:ascii="仿宋_GB2312" w:hAnsi="仿宋" w:eastAsia="仿宋_GB2312" w:cs="仿宋"/>
          <w:color w:val="333333"/>
          <w:sz w:val="32"/>
          <w:szCs w:val="32"/>
          <w:shd w:val="clear" w:color="auto" w:fill="FFFFFF"/>
        </w:rPr>
        <w:t>1000</w:t>
      </w:r>
      <w:r>
        <w:rPr>
          <w:rFonts w:hint="eastAsia" w:ascii="仿宋_GB2312" w:hAnsi="仿宋" w:eastAsia="仿宋_GB2312" w:cs="仿宋"/>
          <w:color w:val="333333"/>
          <w:sz w:val="32"/>
          <w:szCs w:val="32"/>
          <w:shd w:val="clear" w:color="auto" w:fill="FFFFFF"/>
        </w:rPr>
        <w:t>人以上，</w:t>
      </w:r>
      <w:r>
        <w:rPr>
          <w:rFonts w:ascii="仿宋_GB2312" w:hAnsi="仿宋" w:eastAsia="仿宋_GB2312" w:cs="仿宋"/>
          <w:color w:val="333333"/>
          <w:sz w:val="32"/>
          <w:szCs w:val="32"/>
          <w:shd w:val="clear" w:color="auto" w:fill="FFFFFF"/>
        </w:rPr>
        <w:t>3000</w:t>
      </w:r>
      <w:r>
        <w:rPr>
          <w:rFonts w:hint="eastAsia" w:ascii="仿宋_GB2312" w:hAnsi="仿宋" w:eastAsia="仿宋_GB2312" w:cs="仿宋"/>
          <w:color w:val="333333"/>
          <w:sz w:val="32"/>
          <w:szCs w:val="32"/>
          <w:shd w:val="clear" w:color="auto" w:fill="FFFFFF"/>
        </w:rPr>
        <w:t>人以下；</w:t>
      </w:r>
    </w:p>
    <w:p w14:paraId="470E4C4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（3）因灾死亡或可能死亡</w:t>
      </w:r>
      <w:r>
        <w:rPr>
          <w:rFonts w:ascii="仿宋_GB2312" w:hAnsi="仿宋" w:eastAsia="仿宋_GB2312" w:cs="仿宋"/>
          <w:color w:val="333333"/>
          <w:sz w:val="32"/>
          <w:szCs w:val="32"/>
          <w:shd w:val="clear" w:color="auto" w:fill="FFFFFF"/>
        </w:rPr>
        <w:t>1</w:t>
      </w:r>
      <w:r>
        <w:rPr>
          <w:rFonts w:hint="eastAsia" w:ascii="仿宋_GB2312" w:hAnsi="仿宋" w:eastAsia="仿宋_GB2312" w:cs="仿宋"/>
          <w:color w:val="333333"/>
          <w:sz w:val="32"/>
          <w:szCs w:val="32"/>
          <w:shd w:val="clear" w:color="auto" w:fill="FFFFFF"/>
        </w:rPr>
        <w:t>人以上，</w:t>
      </w:r>
      <w:r>
        <w:rPr>
          <w:rFonts w:ascii="仿宋_GB2312" w:hAnsi="仿宋" w:eastAsia="仿宋_GB2312" w:cs="仿宋"/>
          <w:color w:val="333333"/>
          <w:sz w:val="32"/>
          <w:szCs w:val="32"/>
          <w:shd w:val="clear" w:color="auto" w:fill="FFFFFF"/>
        </w:rPr>
        <w:t>5</w:t>
      </w:r>
      <w:r>
        <w:rPr>
          <w:rFonts w:hint="eastAsia" w:ascii="仿宋_GB2312" w:hAnsi="仿宋" w:eastAsia="仿宋_GB2312" w:cs="仿宋"/>
          <w:color w:val="333333"/>
          <w:sz w:val="32"/>
          <w:szCs w:val="32"/>
          <w:shd w:val="clear" w:color="auto" w:fill="FFFFFF"/>
        </w:rPr>
        <w:t>人以下；</w:t>
      </w:r>
    </w:p>
    <w:p w14:paraId="0A91C20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（4）因灾倒塌和严重损坏房屋</w:t>
      </w:r>
      <w:r>
        <w:rPr>
          <w:rFonts w:ascii="仿宋_GB2312" w:hAnsi="仿宋" w:eastAsia="仿宋_GB2312" w:cs="仿宋"/>
          <w:color w:val="333333"/>
          <w:sz w:val="32"/>
          <w:szCs w:val="32"/>
          <w:shd w:val="clear" w:color="auto" w:fill="FFFFFF"/>
        </w:rPr>
        <w:t>6</w:t>
      </w:r>
      <w:r>
        <w:rPr>
          <w:rFonts w:hint="eastAsia" w:ascii="仿宋_GB2312" w:hAnsi="仿宋" w:eastAsia="仿宋_GB2312" w:cs="仿宋"/>
          <w:color w:val="333333"/>
          <w:sz w:val="32"/>
          <w:szCs w:val="32"/>
          <w:shd w:val="clear" w:color="auto" w:fill="FFFFFF"/>
        </w:rPr>
        <w:t>00间以上，</w:t>
      </w:r>
      <w:r>
        <w:rPr>
          <w:rFonts w:ascii="仿宋_GB2312" w:hAnsi="仿宋" w:eastAsia="仿宋_GB2312" w:cs="仿宋"/>
          <w:color w:val="333333"/>
          <w:sz w:val="32"/>
          <w:szCs w:val="32"/>
          <w:shd w:val="clear" w:color="auto" w:fill="FFFFFF"/>
        </w:rPr>
        <w:t>3</w:t>
      </w:r>
      <w:r>
        <w:rPr>
          <w:rFonts w:hint="eastAsia" w:ascii="仿宋_GB2312" w:hAnsi="仿宋" w:eastAsia="仿宋_GB2312" w:cs="仿宋"/>
          <w:color w:val="333333"/>
          <w:sz w:val="32"/>
          <w:szCs w:val="32"/>
          <w:shd w:val="clear" w:color="auto" w:fill="FFFFFF"/>
        </w:rPr>
        <w:t>000间以下；</w:t>
      </w:r>
    </w:p>
    <w:p w14:paraId="14CC2AE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（5）灾害造成群众生产生活资料遭受较大损失、短期内失去收入来源、社会高度关注或群众反映强烈。</w:t>
      </w:r>
    </w:p>
    <w:p w14:paraId="7797B763">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.3.2启动程序</w:t>
      </w:r>
    </w:p>
    <w:p w14:paraId="1263436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灾害发生后，</w:t>
      </w:r>
      <w:r>
        <w:rPr>
          <w:rFonts w:hint="eastAsia" w:ascii="仿宋_GB2312" w:hAnsi="仿宋" w:eastAsia="仿宋_GB2312" w:cs="仿宋"/>
          <w:color w:val="333333"/>
          <w:sz w:val="32"/>
          <w:szCs w:val="32"/>
          <w:shd w:val="clear" w:color="auto" w:fill="FFFFFF"/>
          <w:lang w:val="en-US" w:eastAsia="zh-CN"/>
        </w:rPr>
        <w:t>区安委会办公室</w:t>
      </w:r>
      <w:r>
        <w:rPr>
          <w:rFonts w:hint="eastAsia" w:ascii="仿宋_GB2312" w:hAnsi="仿宋" w:eastAsia="仿宋_GB2312" w:cs="仿宋"/>
          <w:color w:val="333333"/>
          <w:sz w:val="32"/>
          <w:szCs w:val="32"/>
          <w:shd w:val="clear" w:color="auto" w:fill="FFFFFF"/>
        </w:rPr>
        <w:t>经分析评估，认定灾情达到启动标准，</w:t>
      </w:r>
      <w:r>
        <w:rPr>
          <w:rFonts w:hint="eastAsia" w:ascii="仿宋_GB2312" w:hAnsi="仿宋" w:eastAsia="仿宋_GB2312" w:cs="仿宋"/>
          <w:color w:val="333333"/>
          <w:sz w:val="32"/>
          <w:szCs w:val="32"/>
          <w:shd w:val="clear" w:color="auto" w:fill="FFFFFF"/>
          <w:lang w:val="en-US" w:eastAsia="zh-CN"/>
        </w:rPr>
        <w:t>区安委会专职副主任</w:t>
      </w:r>
      <w:r>
        <w:rPr>
          <w:rFonts w:hint="eastAsia" w:ascii="仿宋_GB2312" w:hAnsi="仿宋" w:eastAsia="仿宋_GB2312" w:cs="仿宋"/>
          <w:color w:val="333333"/>
          <w:sz w:val="32"/>
          <w:szCs w:val="32"/>
          <w:shd w:val="clear" w:color="auto" w:fill="FFFFFF"/>
        </w:rPr>
        <w:t>决定启动III级响应，并向区委、区政府和市应急管理局报告。</w:t>
      </w:r>
    </w:p>
    <w:p w14:paraId="051CC82B">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.3.3响应行动</w:t>
      </w:r>
    </w:p>
    <w:p w14:paraId="3C37CAA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及时向指挥部报告灾情和应对工作开展情况，重要情况由</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向区政府报告。</w:t>
      </w:r>
    </w:p>
    <w:p w14:paraId="43652E0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（2）</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及时组织有关部门及受灾地区召开会商会，分析灾区形势，研究落实对灾区的救灾支持措施。</w:t>
      </w:r>
    </w:p>
    <w:p w14:paraId="1BA3641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（3）</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视情派出若干工作指导小组，到受灾较重的镇（街道）指导抗雪防冻救灾工作。</w:t>
      </w:r>
    </w:p>
    <w:p w14:paraId="66446E6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（4）及时派出工作组赴灾区慰问受灾群众，核查灾情，协助指导地方开展救灾工作。</w:t>
      </w:r>
    </w:p>
    <w:p w14:paraId="6A4C0BE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5）灾害发生后，区市应急局会商区财政局按规定程序及时下拨自然灾害救灾资金，会同区发展改革委紧急调拨救灾物资，指导、监督基层救灾应急措施落实和救灾款物发放；协调交通运输等部门紧急调运救灾物资、运输人员工作。</w:t>
      </w:r>
    </w:p>
    <w:p w14:paraId="0272913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（6）</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有关成员单位根据灾情发展和核定情况，积极申请上级资金和物资支持。</w:t>
      </w:r>
    </w:p>
    <w:p w14:paraId="003A9A9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（7）</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成员单位立即按照各自职责做好相关准备并积极开展工作。</w:t>
      </w:r>
    </w:p>
    <w:p w14:paraId="63496CF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（8）各镇（街道）按照属地管理原则，承担本行政区域内的抗雪防冻救灾工作。受灾地区各级人民政府主要负责人要直接指挥抗雪防冻救灾工作，及时向</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报告灾情，积极组织相关部门和发动群众清除行政区域内的国省道、县乡道积雪，做好物资供应保障，确保城乡居民生活正常。必要时，部分受灾较重镇（街道）可向</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报告，由</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向区政府请示，按照相关规定申请区人武部协调民兵、预备役协助参加抗雪防冻救灾工作。</w:t>
      </w:r>
    </w:p>
    <w:p w14:paraId="12E750D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（9）灾情稳定后，</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指导受灾地区评估、核定自然灾害损失情况，按有关规定统一发布自然灾害损失情况。</w:t>
      </w:r>
    </w:p>
    <w:p w14:paraId="4F1437D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（10）应急指挥部其他成员单位按照职责分工，做好有关工作。</w:t>
      </w:r>
    </w:p>
    <w:p w14:paraId="55B02699">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.3.4响应终止</w:t>
      </w:r>
    </w:p>
    <w:p w14:paraId="61C5AB7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灾情和应急救灾工作稳定后，由</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lang w:val="en-US" w:eastAsia="zh-CN"/>
        </w:rPr>
        <w:t>专职副主任</w:t>
      </w:r>
      <w:r>
        <w:rPr>
          <w:rFonts w:hint="eastAsia" w:ascii="仿宋_GB2312" w:hAnsi="仿宋" w:eastAsia="仿宋_GB2312" w:cs="仿宋"/>
          <w:color w:val="333333"/>
          <w:sz w:val="32"/>
          <w:szCs w:val="32"/>
          <w:shd w:val="clear" w:color="auto" w:fill="FFFFFF"/>
        </w:rPr>
        <w:t>宣布终止III级响应。</w:t>
      </w:r>
    </w:p>
    <w:p w14:paraId="774F3BE2">
      <w:pPr>
        <w:pStyle w:val="4"/>
        <w:keepNext w:val="0"/>
        <w:keepLines w:val="0"/>
        <w:pageBreakBefore w:val="0"/>
        <w:shd w:val="clear"/>
        <w:kinsoku/>
        <w:wordWrap/>
        <w:overflowPunct/>
        <w:topLinePunct w:val="0"/>
        <w:autoSpaceDE/>
        <w:autoSpaceDN/>
        <w:bidi w:val="0"/>
        <w:adjustRightInd/>
        <w:snapToGrid/>
        <w:spacing w:line="560" w:lineRule="exact"/>
        <w:ind w:firstLine="643"/>
        <w:jc w:val="both"/>
      </w:pPr>
      <w:bookmarkStart w:id="46" w:name="_Toc7152"/>
      <w:bookmarkStart w:id="47" w:name="_Toc25992"/>
      <w:r>
        <w:rPr>
          <w:rFonts w:hint="eastAsia"/>
          <w:lang w:val="en-US" w:eastAsia="zh-CN"/>
        </w:rPr>
        <w:t>4</w:t>
      </w:r>
      <w:r>
        <w:rPr>
          <w:rFonts w:hint="eastAsia"/>
        </w:rPr>
        <w:t>.4IV级响应</w:t>
      </w:r>
      <w:bookmarkEnd w:id="46"/>
      <w:bookmarkEnd w:id="47"/>
    </w:p>
    <w:p w14:paraId="35B93687">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.4.1启动条件</w:t>
      </w:r>
    </w:p>
    <w:p w14:paraId="1D6DA26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区应急管理局已发布预警，且一次低温雨雪冰冻灾害过程，成下列情形之一的，视为一般低温雨雪冰冻灾害，启动IV级响应。</w:t>
      </w:r>
    </w:p>
    <w:p w14:paraId="11FBF63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（1）区境内1／5的高速公路和国省道发生交通受阻或中断6小时以上；</w:t>
      </w:r>
    </w:p>
    <w:p w14:paraId="0A21DA6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（2）因灾紧急转移安置群众或需紧急生活救助</w:t>
      </w:r>
      <w:r>
        <w:rPr>
          <w:rFonts w:ascii="仿宋_GB2312" w:hAnsi="仿宋" w:eastAsia="仿宋_GB2312" w:cs="仿宋"/>
          <w:color w:val="333333"/>
          <w:sz w:val="32"/>
          <w:szCs w:val="32"/>
          <w:shd w:val="clear" w:color="auto" w:fill="FFFFFF"/>
        </w:rPr>
        <w:t>1000</w:t>
      </w:r>
      <w:r>
        <w:rPr>
          <w:rFonts w:hint="eastAsia" w:ascii="仿宋_GB2312" w:hAnsi="仿宋" w:eastAsia="仿宋_GB2312" w:cs="仿宋"/>
          <w:color w:val="333333"/>
          <w:sz w:val="32"/>
          <w:szCs w:val="32"/>
          <w:shd w:val="clear" w:color="auto" w:fill="FFFFFF"/>
        </w:rPr>
        <w:t>以下；</w:t>
      </w:r>
    </w:p>
    <w:p w14:paraId="4FC35D6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（3）因灾重伤3人以上或轻伤2</w:t>
      </w:r>
      <w:r>
        <w:rPr>
          <w:rFonts w:ascii="仿宋_GB2312" w:hAnsi="仿宋" w:eastAsia="仿宋_GB2312" w:cs="仿宋"/>
          <w:color w:val="333333"/>
          <w:sz w:val="32"/>
          <w:szCs w:val="32"/>
          <w:shd w:val="clear" w:color="auto" w:fill="FFFFFF"/>
        </w:rPr>
        <w:t>0</w:t>
      </w:r>
      <w:r>
        <w:rPr>
          <w:rFonts w:hint="eastAsia" w:ascii="仿宋_GB2312" w:hAnsi="仿宋" w:eastAsia="仿宋_GB2312" w:cs="仿宋"/>
          <w:color w:val="333333"/>
          <w:sz w:val="32"/>
          <w:szCs w:val="32"/>
          <w:shd w:val="clear" w:color="auto" w:fill="FFFFFF"/>
        </w:rPr>
        <w:t>人以上（未发生死亡）；</w:t>
      </w:r>
    </w:p>
    <w:p w14:paraId="14E3320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（4）因灾倒塌和严重损坏房屋</w:t>
      </w:r>
      <w:r>
        <w:rPr>
          <w:rFonts w:ascii="仿宋_GB2312" w:hAnsi="仿宋" w:eastAsia="仿宋_GB2312" w:cs="仿宋"/>
          <w:color w:val="333333"/>
          <w:sz w:val="32"/>
          <w:szCs w:val="32"/>
          <w:shd w:val="clear" w:color="auto" w:fill="FFFFFF"/>
        </w:rPr>
        <w:t>6</w:t>
      </w:r>
      <w:r>
        <w:rPr>
          <w:rFonts w:hint="eastAsia" w:ascii="仿宋_GB2312" w:hAnsi="仿宋" w:eastAsia="仿宋_GB2312" w:cs="仿宋"/>
          <w:color w:val="333333"/>
          <w:sz w:val="32"/>
          <w:szCs w:val="32"/>
          <w:shd w:val="clear" w:color="auto" w:fill="FFFFFF"/>
        </w:rPr>
        <w:t>00间以下；</w:t>
      </w:r>
    </w:p>
    <w:p w14:paraId="6B0308D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（5）灾害造成群众生产生活资料遭受损失、短期内失去收入来源，或社会高度关注、群众反映强烈。</w:t>
      </w:r>
    </w:p>
    <w:p w14:paraId="6E75FE55">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.4.2启动程序</w:t>
      </w:r>
    </w:p>
    <w:p w14:paraId="3FAAFCF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灾害发生后，</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经分析评估，认定灾情达到启动标准，</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lang w:val="en-US" w:eastAsia="zh-CN"/>
        </w:rPr>
        <w:t>专职副主任</w:t>
      </w:r>
      <w:r>
        <w:rPr>
          <w:rFonts w:hint="eastAsia" w:ascii="仿宋_GB2312" w:hAnsi="仿宋" w:eastAsia="仿宋_GB2312" w:cs="仿宋"/>
          <w:color w:val="333333"/>
          <w:sz w:val="32"/>
          <w:szCs w:val="32"/>
          <w:shd w:val="clear" w:color="auto" w:fill="FFFFFF"/>
        </w:rPr>
        <w:t>决定启动IV级响应，并向区委、区政府和市应急管理局报告。</w:t>
      </w:r>
    </w:p>
    <w:p w14:paraId="1DB658FC">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.4.3响应行动</w:t>
      </w:r>
    </w:p>
    <w:p w14:paraId="77806E3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及时向指挥部报告灾情和应对工作开展情况，向有关部门和相关镇（街道）传达指挥部有关指示要求。</w:t>
      </w:r>
    </w:p>
    <w:p w14:paraId="15106C4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（2）</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视情组织有关部门和单位召开会商会，分析灾区形势，研究落实对灾区的救灾支持措施。</w:t>
      </w:r>
    </w:p>
    <w:p w14:paraId="321699D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（3）区有关部门积极指导受灾地区开展应对工作。</w:t>
      </w:r>
    </w:p>
    <w:p w14:paraId="2819845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（4）及时派出工作组赴灾区慰问受灾群众，核查灾情，协助指导地方开展救灾工作。</w:t>
      </w:r>
    </w:p>
    <w:p w14:paraId="75F7856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5）灾害发生后，区应急管理局会商市区财政局按规定程序及时下拨自然灾害救灾资金，会同区发展改革委紧急调拨救灾物资，指导、监督基层救灾应急措施落实和救灾款物发放；协调交通运输等部门紧急调运救灾物资、运输人员工作。</w:t>
      </w:r>
    </w:p>
    <w:p w14:paraId="33C695C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（6）应急指挥部有关成员单位根据灾情发展和核定情况，积极申请上级资金和物资支持。</w:t>
      </w:r>
    </w:p>
    <w:p w14:paraId="646D558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（7）</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成员单位立即按照各自职责做好相关准备并积极开展工作。</w:t>
      </w:r>
    </w:p>
    <w:p w14:paraId="5175F7A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（8）相关镇（街道）按照属地管理原则，承担本行政区域内的抗雪防冻救灾工作，及时将灾情和应对工作情况报</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，积极组织相关部门和发动群众清除行政区域内的道路积雪，保持道路畅通，积极做好居民生活保障工作。</w:t>
      </w:r>
    </w:p>
    <w:p w14:paraId="35AA879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（9）灾情稳定后，</w:t>
      </w:r>
      <w:r>
        <w:rPr>
          <w:rFonts w:hint="eastAsia" w:ascii="仿宋_GB2312" w:hAnsi="仿宋" w:eastAsia="仿宋_GB2312" w:cs="仿宋"/>
          <w:color w:val="333333"/>
          <w:sz w:val="32"/>
          <w:szCs w:val="32"/>
          <w:shd w:val="clear" w:color="auto" w:fill="FFFFFF"/>
          <w:lang w:eastAsia="zh-CN"/>
        </w:rPr>
        <w:t>区安委会办公室</w:t>
      </w:r>
      <w:r>
        <w:rPr>
          <w:rFonts w:hint="eastAsia" w:ascii="仿宋_GB2312" w:hAnsi="仿宋" w:eastAsia="仿宋_GB2312" w:cs="仿宋"/>
          <w:color w:val="333333"/>
          <w:sz w:val="32"/>
          <w:szCs w:val="32"/>
          <w:shd w:val="clear" w:color="auto" w:fill="FFFFFF"/>
        </w:rPr>
        <w:t>指导受灾地区评估、核定自然灾害损失情况，按有关规定统一发布自然灾害损失情况。</w:t>
      </w:r>
    </w:p>
    <w:p w14:paraId="6A1FFE4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（10）应急指挥部其他成员单位按照职责分工，做好有关工作。</w:t>
      </w:r>
    </w:p>
    <w:p w14:paraId="686B9907">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b/>
          <w:bCs/>
          <w:color w:val="333333"/>
          <w:sz w:val="32"/>
          <w:szCs w:val="32"/>
          <w:shd w:val="clear" w:color="auto" w:fill="FFFFFF"/>
        </w:rPr>
      </w:pPr>
      <w:r>
        <w:rPr>
          <w:rFonts w:hint="eastAsia" w:ascii="仿宋_GB2312" w:hAnsi="仿宋" w:eastAsia="仿宋_GB2312" w:cs="仿宋"/>
          <w:b/>
          <w:bCs/>
          <w:color w:val="333333"/>
          <w:sz w:val="32"/>
          <w:szCs w:val="32"/>
          <w:shd w:val="clear" w:color="auto" w:fill="FFFFFF"/>
          <w:lang w:val="en-US" w:eastAsia="zh-CN"/>
        </w:rPr>
        <w:t>4</w:t>
      </w:r>
      <w:r>
        <w:rPr>
          <w:rFonts w:hint="eastAsia" w:ascii="仿宋_GB2312" w:hAnsi="仿宋" w:eastAsia="仿宋_GB2312" w:cs="仿宋"/>
          <w:b/>
          <w:bCs/>
          <w:color w:val="333333"/>
          <w:sz w:val="32"/>
          <w:szCs w:val="32"/>
          <w:shd w:val="clear" w:color="auto" w:fill="FFFFFF"/>
        </w:rPr>
        <w:t>.4.4响应终止</w:t>
      </w:r>
    </w:p>
    <w:p w14:paraId="02DA7F3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灾情和应急救灾工作稳定后，由</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lang w:val="en-US" w:eastAsia="zh-CN"/>
        </w:rPr>
        <w:t>专职副主任</w:t>
      </w:r>
      <w:r>
        <w:rPr>
          <w:rFonts w:hint="eastAsia" w:ascii="仿宋_GB2312" w:hAnsi="仿宋" w:eastAsia="仿宋_GB2312" w:cs="仿宋"/>
          <w:color w:val="333333"/>
          <w:sz w:val="32"/>
          <w:szCs w:val="32"/>
          <w:shd w:val="clear" w:color="auto" w:fill="FFFFFF"/>
        </w:rPr>
        <w:t>宣布终止IV级响应。</w:t>
      </w:r>
    </w:p>
    <w:p w14:paraId="08E15707">
      <w:pPr>
        <w:pStyle w:val="4"/>
        <w:keepNext w:val="0"/>
        <w:keepLines w:val="0"/>
        <w:pageBreakBefore w:val="0"/>
        <w:shd w:val="clear"/>
        <w:kinsoku/>
        <w:wordWrap/>
        <w:overflowPunct/>
        <w:topLinePunct w:val="0"/>
        <w:autoSpaceDE/>
        <w:autoSpaceDN/>
        <w:bidi w:val="0"/>
        <w:adjustRightInd/>
        <w:snapToGrid/>
        <w:spacing w:line="560" w:lineRule="exact"/>
        <w:ind w:firstLine="643"/>
        <w:jc w:val="both"/>
        <w:rPr>
          <w:rFonts w:hint="eastAsia"/>
          <w:lang w:val="en-US" w:eastAsia="zh-CN"/>
        </w:rPr>
      </w:pPr>
      <w:bookmarkStart w:id="48" w:name="_Toc27294"/>
      <w:bookmarkStart w:id="49" w:name="_Toc32507"/>
      <w:r>
        <w:rPr>
          <w:rFonts w:hint="eastAsia"/>
          <w:lang w:val="en-US" w:eastAsia="zh-CN"/>
        </w:rPr>
        <w:t>4.5工作组构成及职责</w:t>
      </w:r>
      <w:bookmarkEnd w:id="48"/>
    </w:p>
    <w:p w14:paraId="087CD28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启动本预案II级（含）以上响应后，</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lang w:val="en-US" w:eastAsia="zh-CN"/>
        </w:rPr>
        <w:t>视情</w:t>
      </w:r>
      <w:r>
        <w:rPr>
          <w:rFonts w:hint="eastAsia" w:ascii="仿宋_GB2312" w:hAnsi="仿宋" w:eastAsia="仿宋_GB2312" w:cs="仿宋"/>
          <w:color w:val="333333"/>
          <w:sz w:val="32"/>
          <w:szCs w:val="32"/>
          <w:shd w:val="clear" w:color="auto" w:fill="FFFFFF"/>
        </w:rPr>
        <w:t>成立综合组、生活救助组、交通工作组、煤电油气保障组、市场保障组、医疗卫生救助组、宣传报道</w:t>
      </w:r>
      <w:r>
        <w:rPr>
          <w:rFonts w:hint="eastAsia" w:ascii="仿宋_GB2312" w:hAnsi="仿宋" w:eastAsia="仿宋_GB2312" w:cs="仿宋"/>
          <w:color w:val="333333"/>
          <w:sz w:val="32"/>
          <w:szCs w:val="32"/>
          <w:shd w:val="clear" w:color="auto" w:fill="FFFFFF"/>
          <w:lang w:val="en-US" w:eastAsia="zh-CN"/>
        </w:rPr>
        <w:t>组</w:t>
      </w:r>
      <w:r>
        <w:rPr>
          <w:rFonts w:hint="eastAsia" w:ascii="仿宋_GB2312" w:hAnsi="仿宋" w:eastAsia="仿宋_GB2312" w:cs="仿宋"/>
          <w:color w:val="333333"/>
          <w:sz w:val="32"/>
          <w:szCs w:val="32"/>
          <w:shd w:val="clear" w:color="auto" w:fill="FFFFFF"/>
        </w:rPr>
        <w:t>7个工作组，处置低温雨雪冰冻灾害。各工作组各司其职，各负其责，协同作战，全力以赴做好各项应对处置工作。</w:t>
      </w:r>
    </w:p>
    <w:p w14:paraId="31F4BD87">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（1）综合组：</w:t>
      </w:r>
      <w:r>
        <w:rPr>
          <w:rFonts w:hint="eastAsia" w:ascii="仿宋_GB2312" w:hAnsi="仿宋" w:eastAsia="仿宋_GB2312" w:cs="仿宋"/>
          <w:color w:val="333333"/>
          <w:sz w:val="32"/>
          <w:szCs w:val="32"/>
          <w:shd w:val="clear" w:color="auto" w:fill="FFFFFF"/>
        </w:rPr>
        <w:t>负责材料起草、公文办理、会议安排、监测预警、信息报告、舆论引导和综合协调工作；承办区政府交办的其他事项。（区应急管理局牵头，区委宣传部、烈山道路运输管理服务中心、区文化旅游体育局为成员单位）</w:t>
      </w:r>
    </w:p>
    <w:p w14:paraId="40FBD3FE">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（2）生活救助组：</w:t>
      </w:r>
      <w:r>
        <w:rPr>
          <w:rFonts w:hint="eastAsia" w:ascii="仿宋_GB2312" w:hAnsi="仿宋" w:eastAsia="仿宋_GB2312" w:cs="仿宋"/>
          <w:color w:val="333333"/>
          <w:sz w:val="32"/>
          <w:szCs w:val="32"/>
          <w:shd w:val="clear" w:color="auto" w:fill="FFFFFF"/>
        </w:rPr>
        <w:t>负责灾情的查核与上报，分配下拨救灾款物，组织开展救灾捐赠活动，妥善安排好困难群众吃、穿、住、医等基本生活。（区应急管理局牵头，区发展和改革委员会、区民政局、区财政局、区住房和城乡建设局、区文化旅游体育局、区卫生健康委员会、受灾地镇（街道）为成员单位）</w:t>
      </w:r>
    </w:p>
    <w:p w14:paraId="4B3FF6B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各级人民政府要组织力量对居住在危房中的群众进行转移，应急等部门要及时开设避灾（避险）场所，临时安置转移群众。必要时利用学校、体育、文化等社会公共场所用于人员转移安置。因低温雨雪冰冻灾害造成各交通枢纽、景区人员大量滞留的，各级人民政府和有关部门要适时开设避灾（避险）场所，疏散滞留人员，同时提供必要的基本生活保障。</w:t>
      </w:r>
    </w:p>
    <w:p w14:paraId="1BE007D6">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（3）交通工作组：</w:t>
      </w:r>
      <w:r>
        <w:rPr>
          <w:rFonts w:hint="eastAsia" w:ascii="仿宋_GB2312" w:hAnsi="仿宋" w:eastAsia="仿宋_GB2312" w:cs="仿宋"/>
          <w:color w:val="333333"/>
          <w:sz w:val="32"/>
          <w:szCs w:val="32"/>
          <w:shd w:val="clear" w:color="auto" w:fill="FFFFFF"/>
        </w:rPr>
        <w:t>负责全区国省干线公路、高速公路的除雪铲冰，保障客货运输工作；统计高速公路和国省道中断里程和交通滞留人员数量；全力为高速公路和国省道上滞留的司乘人员提供食品、饮水等保障；指导受灾地区做好县乡道路的除雪铲冰保畅工作；做好城市公交系统的调度工作，确保城市公交系统正常运营。必要时协调沿线政府组织群众为公路滞留人员提供食物、饮水等保障。（烈山道路运输管理服务中心牵头，区公安分局、区住房和城乡建设局、区人武部、</w:t>
      </w:r>
      <w:r>
        <w:rPr>
          <w:rFonts w:hint="eastAsia" w:ascii="仿宋_GB2312" w:hAnsi="仿宋" w:eastAsia="仿宋_GB2312" w:cs="仿宋"/>
          <w:color w:val="333333"/>
          <w:sz w:val="32"/>
          <w:szCs w:val="32"/>
          <w:shd w:val="clear" w:color="auto" w:fill="FFFFFF"/>
          <w:lang w:eastAsia="zh-CN"/>
        </w:rPr>
        <w:t>烈山交通管理大队</w:t>
      </w:r>
      <w:r>
        <w:rPr>
          <w:rFonts w:hint="eastAsia" w:ascii="仿宋_GB2312" w:hAnsi="仿宋" w:eastAsia="仿宋_GB2312" w:cs="仿宋"/>
          <w:color w:val="333333"/>
          <w:sz w:val="32"/>
          <w:szCs w:val="32"/>
          <w:shd w:val="clear" w:color="auto" w:fill="FFFFFF"/>
        </w:rPr>
        <w:t>为成员单位。）</w:t>
      </w:r>
    </w:p>
    <w:p w14:paraId="7CD79C43">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（4）煤电油气保障组：</w:t>
      </w:r>
      <w:r>
        <w:rPr>
          <w:rFonts w:hint="eastAsia" w:ascii="仿宋_GB2312" w:hAnsi="仿宋" w:eastAsia="仿宋_GB2312" w:cs="仿宋"/>
          <w:color w:val="333333"/>
          <w:sz w:val="32"/>
          <w:szCs w:val="32"/>
          <w:shd w:val="clear" w:color="auto" w:fill="FFFFFF"/>
        </w:rPr>
        <w:t>负责煤、电、成品油、天然气等的供需衔接和综合协调，组织重要物资的运输调度，全力做好保障工作。（区发展和改革委员会牵头，区科技经济和信息化局、区住房和城乡建设局、烈山道路运输管理服务中心、区商务局、烈山供电部门为成员单位。）</w:t>
      </w:r>
    </w:p>
    <w:p w14:paraId="22A2C2D1">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（5）市场保障组</w:t>
      </w:r>
      <w:r>
        <w:rPr>
          <w:rFonts w:hint="eastAsia" w:ascii="仿宋_GB2312" w:hAnsi="仿宋" w:eastAsia="仿宋_GB2312" w:cs="仿宋"/>
          <w:color w:val="333333"/>
          <w:sz w:val="32"/>
          <w:szCs w:val="32"/>
          <w:shd w:val="clear" w:color="auto" w:fill="FFFFFF"/>
        </w:rPr>
        <w:t>：负责做好肉、蛋、菜、粮油等货源市场供应，维护市场稳定。（区商务局牵头，区农业农村水利局、区市场监督管理局为成员单位。）</w:t>
      </w:r>
    </w:p>
    <w:p w14:paraId="3028ED7D">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（6）医疗卫生救助组：</w:t>
      </w:r>
      <w:r>
        <w:rPr>
          <w:rFonts w:hint="eastAsia" w:ascii="仿宋_GB2312" w:hAnsi="仿宋" w:eastAsia="仿宋_GB2312" w:cs="仿宋"/>
          <w:color w:val="333333"/>
          <w:sz w:val="32"/>
          <w:szCs w:val="32"/>
          <w:shd w:val="clear" w:color="auto" w:fill="FFFFFF"/>
        </w:rPr>
        <w:t>负责组织做好灾区伤病群众的救治、灾区疫情疫病预防控制、救灾药品器械供应、因灾卫生监测报告等工作。（区卫生健康委员会牵头，区科技经济和信息化局、区市场监督管理局为成员单位。）</w:t>
      </w:r>
    </w:p>
    <w:p w14:paraId="3FF51841">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b/>
          <w:bCs/>
          <w:color w:val="333333"/>
          <w:sz w:val="32"/>
          <w:szCs w:val="32"/>
          <w:shd w:val="clear" w:color="auto" w:fill="FFFFFF"/>
        </w:rPr>
        <w:t>（7）宣传报道组：</w:t>
      </w:r>
      <w:r>
        <w:rPr>
          <w:rFonts w:hint="eastAsia" w:ascii="仿宋_GB2312" w:hAnsi="仿宋" w:eastAsia="仿宋_GB2312" w:cs="仿宋"/>
          <w:color w:val="333333"/>
          <w:sz w:val="32"/>
          <w:szCs w:val="32"/>
          <w:shd w:val="clear" w:color="auto" w:fill="FFFFFF"/>
        </w:rPr>
        <w:t>负责抗雪救灾信息发布和舆论引导工作，做好灾区广播、电视系统设施的恢复。（区委宣传部牵头，区应急管理局、区文化旅游体育局等为成员单位。）</w:t>
      </w:r>
    </w:p>
    <w:p w14:paraId="134EC9AE">
      <w:pPr>
        <w:pStyle w:val="4"/>
        <w:keepNext w:val="0"/>
        <w:keepLines w:val="0"/>
        <w:pageBreakBefore w:val="0"/>
        <w:widowControl w:val="0"/>
        <w:shd w:val="clear"/>
        <w:kinsoku/>
        <w:wordWrap/>
        <w:overflowPunct/>
        <w:topLinePunct w:val="0"/>
        <w:autoSpaceDE/>
        <w:autoSpaceDN/>
        <w:bidi w:val="0"/>
        <w:adjustRightInd/>
        <w:snapToGrid/>
        <w:spacing w:line="540" w:lineRule="exact"/>
        <w:ind w:firstLine="643"/>
        <w:jc w:val="both"/>
        <w:textAlignment w:val="auto"/>
      </w:pPr>
      <w:bookmarkStart w:id="50" w:name="_Toc13881"/>
      <w:r>
        <w:rPr>
          <w:rFonts w:hint="eastAsia"/>
          <w:lang w:val="en-US" w:eastAsia="zh-CN"/>
        </w:rPr>
        <w:t>4</w:t>
      </w:r>
      <w:r>
        <w:rPr>
          <w:rFonts w:hint="eastAsia"/>
        </w:rPr>
        <w:t>.</w:t>
      </w:r>
      <w:r>
        <w:rPr>
          <w:rFonts w:hint="eastAsia"/>
          <w:lang w:val="en-US" w:eastAsia="zh-CN"/>
        </w:rPr>
        <w:t>6</w:t>
      </w:r>
      <w:r>
        <w:rPr>
          <w:rFonts w:hint="eastAsia"/>
        </w:rPr>
        <w:t>启动条件调整</w:t>
      </w:r>
      <w:bookmarkEnd w:id="49"/>
      <w:bookmarkEnd w:id="50"/>
    </w:p>
    <w:p w14:paraId="509BDF3F">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对灾害发生在敏感地区、敏感时间和救助能力特别薄弱的地区等特殊情况，或灾害对受灾地区经济社会造成重大影响时，启动区级雨雪冰冻灾害应急响应标准可酌情调整。</w:t>
      </w:r>
    </w:p>
    <w:p w14:paraId="01C31107">
      <w:pPr>
        <w:pStyle w:val="4"/>
        <w:keepNext w:val="0"/>
        <w:keepLines w:val="0"/>
        <w:pageBreakBefore w:val="0"/>
        <w:widowControl w:val="0"/>
        <w:shd w:val="clear"/>
        <w:kinsoku/>
        <w:wordWrap/>
        <w:overflowPunct/>
        <w:topLinePunct w:val="0"/>
        <w:autoSpaceDE/>
        <w:autoSpaceDN/>
        <w:bidi w:val="0"/>
        <w:adjustRightInd/>
        <w:snapToGrid/>
        <w:spacing w:line="540" w:lineRule="exact"/>
        <w:ind w:firstLine="643"/>
        <w:jc w:val="both"/>
        <w:textAlignment w:val="auto"/>
        <w:rPr>
          <w:rFonts w:hint="eastAsia"/>
          <w:lang w:val="en-US" w:eastAsia="zh-CN"/>
        </w:rPr>
      </w:pPr>
      <w:bookmarkStart w:id="51" w:name="_Toc27323"/>
      <w:bookmarkStart w:id="52" w:name="_Toc19015"/>
      <w:r>
        <w:rPr>
          <w:rFonts w:hint="eastAsia"/>
          <w:lang w:val="en-US" w:eastAsia="zh-CN"/>
        </w:rPr>
        <w:t>4.7</w:t>
      </w:r>
      <w:bookmarkEnd w:id="51"/>
      <w:r>
        <w:rPr>
          <w:rFonts w:hint="eastAsia"/>
          <w:lang w:val="en-US" w:eastAsia="zh-CN"/>
        </w:rPr>
        <w:t>后期处置</w:t>
      </w:r>
      <w:bookmarkEnd w:id="52"/>
    </w:p>
    <w:p w14:paraId="35F86EA2">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 w:eastAsia="仿宋_GB2312" w:cs="仿宋"/>
          <w:b/>
          <w:bCs/>
          <w:color w:val="333333"/>
          <w:sz w:val="32"/>
          <w:szCs w:val="32"/>
          <w:shd w:val="clear" w:color="auto" w:fill="FFFFFF"/>
          <w:lang w:val="en-US" w:eastAsia="zh-CN"/>
        </w:rPr>
      </w:pPr>
      <w:bookmarkStart w:id="53" w:name="_Toc15049"/>
      <w:r>
        <w:rPr>
          <w:rFonts w:hint="eastAsia" w:ascii="仿宋_GB2312" w:hAnsi="仿宋" w:eastAsia="仿宋_GB2312" w:cs="仿宋"/>
          <w:b/>
          <w:bCs/>
          <w:color w:val="333333"/>
          <w:sz w:val="32"/>
          <w:szCs w:val="32"/>
          <w:shd w:val="clear" w:color="auto" w:fill="FFFFFF"/>
          <w:lang w:val="en-US" w:eastAsia="zh-CN"/>
        </w:rPr>
        <w:t>4.7.1调查评估</w:t>
      </w:r>
      <w:bookmarkEnd w:id="53"/>
    </w:p>
    <w:p w14:paraId="6FF11BD9">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应急响应解除后，区安委会办公室组织专家组对低温雨雪冰冻灾害造成的影响进行调查、核实、评估，形成总结评估报告报区安委会。报告内容包括灾害损失评估、预测预报、抢险救灾情况和经验教训、改进措施以及典型案例等、各部门应及时将监测资料、灾情资料、工作技术总结、服务材料等进行收集归档。</w:t>
      </w:r>
    </w:p>
    <w:p w14:paraId="3362EFA4">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 w:eastAsia="仿宋_GB2312" w:cs="仿宋"/>
          <w:b/>
          <w:bCs/>
          <w:color w:val="333333"/>
          <w:sz w:val="32"/>
          <w:szCs w:val="32"/>
          <w:shd w:val="clear" w:color="auto" w:fill="FFFFFF"/>
          <w:lang w:val="en-US" w:eastAsia="zh-CN"/>
        </w:rPr>
      </w:pPr>
      <w:r>
        <w:rPr>
          <w:rFonts w:hint="eastAsia" w:ascii="仿宋_GB2312" w:hAnsi="仿宋" w:eastAsia="仿宋_GB2312" w:cs="仿宋"/>
          <w:b/>
          <w:bCs/>
          <w:color w:val="333333"/>
          <w:sz w:val="32"/>
          <w:szCs w:val="32"/>
          <w:shd w:val="clear" w:color="auto" w:fill="FFFFFF"/>
          <w:lang w:val="en-US" w:eastAsia="zh-CN"/>
        </w:rPr>
        <w:t>4.7.2救灾救助</w:t>
      </w:r>
    </w:p>
    <w:p w14:paraId="2344DBD4">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灾后救灾救助工作在区安委会的领导下，由镇（街道）、开发区党委政府具体实施，做好救助、补偿、抚慰、抚恤、安置等善后救灾救助工作。区政府根据实际情况给予支持。</w:t>
      </w:r>
    </w:p>
    <w:p w14:paraId="5A06D962">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hint="default" w:ascii="仿宋_GB2312" w:hAnsi="仿宋" w:eastAsia="仿宋_GB2312" w:cs="仿宋"/>
          <w:b/>
          <w:bCs/>
          <w:color w:val="333333"/>
          <w:sz w:val="32"/>
          <w:szCs w:val="32"/>
          <w:shd w:val="clear" w:color="auto" w:fill="FFFFFF"/>
          <w:lang w:val="en-US" w:eastAsia="zh-CN"/>
        </w:rPr>
      </w:pPr>
      <w:r>
        <w:rPr>
          <w:rFonts w:hint="eastAsia" w:ascii="仿宋_GB2312" w:hAnsi="仿宋" w:eastAsia="仿宋_GB2312" w:cs="仿宋"/>
          <w:b/>
          <w:bCs/>
          <w:color w:val="333333"/>
          <w:sz w:val="32"/>
          <w:szCs w:val="32"/>
          <w:shd w:val="clear" w:color="auto" w:fill="FFFFFF"/>
          <w:lang w:val="en-US" w:eastAsia="zh-CN"/>
        </w:rPr>
        <w:t>4.7.3救灾补偿</w:t>
      </w:r>
    </w:p>
    <w:p w14:paraId="5FE3349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救灾过程中，灾区政府及其有关部门根据救灾需要依法调用和征用的物资、设备和交通运输工具，在使用完毕或者救灾工作结束后，应当及时归还。调用和征用期间造成经济损失或者调用和征用后造成毁损、灭失的，灾区政府及其有关部门应当按照国家有关规定给予补偿。</w:t>
      </w:r>
    </w:p>
    <w:p w14:paraId="011C9AA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救灾工作结束后，征调部门应按照国家有关规定给予参与救灾的应急救援队伍及社会力量相应补偿。</w:t>
      </w:r>
    </w:p>
    <w:p w14:paraId="3DA51A0C">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 w:eastAsia="仿宋_GB2312" w:cs="仿宋"/>
          <w:b/>
          <w:bCs/>
          <w:color w:val="333333"/>
          <w:sz w:val="32"/>
          <w:szCs w:val="32"/>
          <w:shd w:val="clear" w:color="auto" w:fill="FFFFFF"/>
          <w:lang w:val="en-US" w:eastAsia="zh-CN"/>
        </w:rPr>
      </w:pPr>
      <w:bookmarkStart w:id="54" w:name="_Toc22142"/>
      <w:r>
        <w:rPr>
          <w:rFonts w:hint="eastAsia" w:ascii="仿宋_GB2312" w:hAnsi="仿宋" w:eastAsia="仿宋_GB2312" w:cs="仿宋"/>
          <w:b/>
          <w:bCs/>
          <w:color w:val="333333"/>
          <w:sz w:val="32"/>
          <w:szCs w:val="32"/>
          <w:shd w:val="clear" w:color="auto" w:fill="FFFFFF"/>
          <w:lang w:val="en-US" w:eastAsia="zh-CN"/>
        </w:rPr>
        <w:t>4.7.4恢复重建</w:t>
      </w:r>
      <w:bookmarkEnd w:id="54"/>
    </w:p>
    <w:p w14:paraId="72F35DF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应急响应结束后，事发地政府应立即制订恢复重建计划，迅速开展恢复重建工作。</w:t>
      </w:r>
    </w:p>
    <w:p w14:paraId="536745D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I级和II级低温雨雪冰冻灾害的恢复重建工作由市政府统筹安排，市政府有关部门根据受灾情况制订恢复重建计划，按有关程序报批后由事发区政府组织实施。III级和IV级低温雨雪冰冻灾害的恢复重建工作由区政府负责。</w:t>
      </w:r>
    </w:p>
    <w:p w14:paraId="65F406F8">
      <w:pPr>
        <w:pStyle w:val="3"/>
        <w:keepNext w:val="0"/>
        <w:keepLines w:val="0"/>
        <w:pageBreakBefore w:val="0"/>
        <w:shd w:val="clear"/>
        <w:kinsoku/>
        <w:wordWrap/>
        <w:overflowPunct/>
        <w:topLinePunct w:val="0"/>
        <w:autoSpaceDE/>
        <w:autoSpaceDN/>
        <w:bidi w:val="0"/>
        <w:adjustRightInd/>
        <w:snapToGrid/>
        <w:spacing w:line="560" w:lineRule="exact"/>
        <w:ind w:firstLine="640"/>
        <w:jc w:val="both"/>
      </w:pPr>
      <w:bookmarkStart w:id="55" w:name="_Toc26961"/>
      <w:bookmarkStart w:id="56" w:name="_Toc21297"/>
      <w:r>
        <w:rPr>
          <w:rFonts w:hint="eastAsia"/>
          <w:lang w:val="en-US" w:eastAsia="zh-CN"/>
        </w:rPr>
        <w:t>5</w:t>
      </w:r>
      <w:r>
        <w:rPr>
          <w:rFonts w:hint="eastAsia"/>
        </w:rPr>
        <w:t>应急保障</w:t>
      </w:r>
      <w:bookmarkEnd w:id="55"/>
      <w:bookmarkEnd w:id="56"/>
    </w:p>
    <w:p w14:paraId="1813ACA7">
      <w:pPr>
        <w:pStyle w:val="4"/>
        <w:keepNext w:val="0"/>
        <w:keepLines w:val="0"/>
        <w:pageBreakBefore w:val="0"/>
        <w:shd w:val="clear"/>
        <w:kinsoku/>
        <w:wordWrap/>
        <w:overflowPunct/>
        <w:topLinePunct w:val="0"/>
        <w:autoSpaceDE/>
        <w:autoSpaceDN/>
        <w:bidi w:val="0"/>
        <w:adjustRightInd/>
        <w:snapToGrid/>
        <w:spacing w:line="560" w:lineRule="exact"/>
        <w:ind w:firstLine="643"/>
        <w:jc w:val="both"/>
      </w:pPr>
      <w:bookmarkStart w:id="57" w:name="_Toc8174"/>
      <w:bookmarkStart w:id="58" w:name="_Toc11302"/>
      <w:r>
        <w:rPr>
          <w:rFonts w:hint="eastAsia"/>
          <w:lang w:val="en-US" w:eastAsia="zh-CN"/>
        </w:rPr>
        <w:t>5</w:t>
      </w:r>
      <w:r>
        <w:rPr>
          <w:rFonts w:hint="eastAsia"/>
        </w:rPr>
        <w:t>.1</w:t>
      </w:r>
      <w:r>
        <w:rPr>
          <w:rFonts w:hint="eastAsia"/>
          <w:lang w:val="en-US" w:eastAsia="zh-CN"/>
        </w:rPr>
        <w:t>应急队伍</w:t>
      </w:r>
      <w:r>
        <w:rPr>
          <w:rFonts w:hint="eastAsia"/>
        </w:rPr>
        <w:t>保障</w:t>
      </w:r>
      <w:bookmarkEnd w:id="57"/>
      <w:bookmarkEnd w:id="58"/>
    </w:p>
    <w:p w14:paraId="45D34E1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各级人民政府和有关部门应根据本地区、本部门特点，建立健全应急联动协调机制，动员社会团体、企事业单位以及志愿者等社会力量参与应急处置工作，充分发挥消防救援、预备役和民兵在灾害应急中的骨干和突击作用，发挥社会力量在抗灾救灾工作中的有效补充作用。</w:t>
      </w:r>
    </w:p>
    <w:p w14:paraId="5668D1B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各级人民政府和有关部门应当为专业应急救援人员购买人身意外伤害保险，配备必要的防护装备和器材，减少应急救援人员的人身风险。</w:t>
      </w:r>
    </w:p>
    <w:p w14:paraId="0E42BDF1">
      <w:pPr>
        <w:pStyle w:val="4"/>
        <w:keepNext w:val="0"/>
        <w:keepLines w:val="0"/>
        <w:pageBreakBefore w:val="0"/>
        <w:shd w:val="clear"/>
        <w:kinsoku/>
        <w:wordWrap/>
        <w:overflowPunct/>
        <w:topLinePunct w:val="0"/>
        <w:autoSpaceDE/>
        <w:autoSpaceDN/>
        <w:bidi w:val="0"/>
        <w:adjustRightInd/>
        <w:snapToGrid/>
        <w:spacing w:line="560" w:lineRule="exact"/>
        <w:ind w:firstLine="643"/>
        <w:jc w:val="both"/>
      </w:pPr>
      <w:bookmarkStart w:id="59" w:name="_Toc15707"/>
      <w:bookmarkStart w:id="60" w:name="_Toc3078"/>
      <w:r>
        <w:rPr>
          <w:rFonts w:hint="eastAsia"/>
          <w:lang w:val="en-US" w:eastAsia="zh-CN"/>
        </w:rPr>
        <w:t>5</w:t>
      </w:r>
      <w:r>
        <w:rPr>
          <w:rFonts w:hint="eastAsia"/>
        </w:rPr>
        <w:t>.2</w:t>
      </w:r>
      <w:r>
        <w:rPr>
          <w:rFonts w:hint="eastAsia"/>
          <w:lang w:val="en-US" w:eastAsia="zh-CN"/>
        </w:rPr>
        <w:t>资金</w:t>
      </w:r>
      <w:r>
        <w:rPr>
          <w:rFonts w:hint="eastAsia"/>
        </w:rPr>
        <w:t>保障</w:t>
      </w:r>
      <w:bookmarkEnd w:id="59"/>
      <w:bookmarkEnd w:id="60"/>
    </w:p>
    <w:p w14:paraId="317D7336">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各级人民政府和有关部门按照现行事权、财权划分和分级负担的原则，合理安排日常工作经费，保障低温雨雪冰冻灾害应对工作的需要。对受灾害事件影响较大、财政困难的地区，由事发地人民政府或政府有关部门提出申请，上级财政按财政规定积极争取资金，并及时下拨。</w:t>
      </w:r>
    </w:p>
    <w:p w14:paraId="34B99BFC">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对受灾害事件影响较大的单位和个人，政府有关部门应及时研究提出相应的救助措施，报当地政府批准后实施。</w:t>
      </w:r>
    </w:p>
    <w:p w14:paraId="4FA1E352">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各级财政、审计部门应当对财政应急保障资金的使用情况进行监督管理。</w:t>
      </w:r>
    </w:p>
    <w:p w14:paraId="109A934A">
      <w:pPr>
        <w:pStyle w:val="4"/>
        <w:keepNext w:val="0"/>
        <w:keepLines w:val="0"/>
        <w:pageBreakBefore w:val="0"/>
        <w:widowControl w:val="0"/>
        <w:shd w:val="clear"/>
        <w:kinsoku/>
        <w:wordWrap/>
        <w:overflowPunct/>
        <w:topLinePunct w:val="0"/>
        <w:autoSpaceDE/>
        <w:autoSpaceDN/>
        <w:bidi w:val="0"/>
        <w:adjustRightInd/>
        <w:snapToGrid/>
        <w:spacing w:line="540" w:lineRule="exact"/>
        <w:ind w:firstLine="643"/>
        <w:jc w:val="both"/>
        <w:textAlignment w:val="auto"/>
      </w:pPr>
      <w:bookmarkStart w:id="61" w:name="_Toc16480"/>
      <w:bookmarkStart w:id="62" w:name="_Toc4080"/>
      <w:r>
        <w:rPr>
          <w:rFonts w:hint="eastAsia"/>
          <w:lang w:val="en-US" w:eastAsia="zh-CN"/>
        </w:rPr>
        <w:t>5</w:t>
      </w:r>
      <w:r>
        <w:rPr>
          <w:rFonts w:hint="eastAsia"/>
        </w:rPr>
        <w:t>.3物资</w:t>
      </w:r>
      <w:r>
        <w:rPr>
          <w:rFonts w:hint="eastAsia"/>
          <w:lang w:val="en-US" w:eastAsia="zh-CN"/>
        </w:rPr>
        <w:t>装备</w:t>
      </w:r>
      <w:r>
        <w:rPr>
          <w:rFonts w:hint="eastAsia"/>
        </w:rPr>
        <w:t>保障</w:t>
      </w:r>
      <w:bookmarkEnd w:id="61"/>
      <w:bookmarkEnd w:id="62"/>
    </w:p>
    <w:p w14:paraId="151130D6">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区应急管理局制定应急物资储备规划并会同区发展改革委储备帐篷、棉被等救灾物资，确保受灾群众基本生活需要。</w:t>
      </w:r>
    </w:p>
    <w:p w14:paraId="4F8B4900">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交通部门、城市管理部门及高速公路运营管理单位要配备一定数量的大型扫雪除冰机械设备，储备必要的融雪剂等物资。经信、卫健部门负责协调做好药品、医疗器械等应急物资储备管理。</w:t>
      </w:r>
    </w:p>
    <w:p w14:paraId="2D7C54E0">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发改、供电部门分别负责组织协调煤炭生产、调运，电力供应。</w:t>
      </w:r>
    </w:p>
    <w:p w14:paraId="15D0E0FB">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商务、发改部门负责保障受灾地区猪肉、鸡蛋、蔬菜等重要生活必需品的供应，做好市场调控工作，负责协调成品油的市场供应。</w:t>
      </w:r>
    </w:p>
    <w:p w14:paraId="4A3E1AD2">
      <w:pPr>
        <w:pStyle w:val="4"/>
        <w:keepNext w:val="0"/>
        <w:keepLines w:val="0"/>
        <w:pageBreakBefore w:val="0"/>
        <w:widowControl w:val="0"/>
        <w:shd w:val="clear"/>
        <w:kinsoku/>
        <w:wordWrap/>
        <w:overflowPunct/>
        <w:topLinePunct w:val="0"/>
        <w:autoSpaceDE/>
        <w:autoSpaceDN/>
        <w:bidi w:val="0"/>
        <w:adjustRightInd/>
        <w:snapToGrid/>
        <w:spacing w:line="540" w:lineRule="exact"/>
        <w:ind w:firstLine="643"/>
        <w:jc w:val="both"/>
        <w:textAlignment w:val="auto"/>
      </w:pPr>
      <w:bookmarkStart w:id="63" w:name="_Toc29"/>
      <w:bookmarkStart w:id="64" w:name="_Toc13893"/>
      <w:r>
        <w:rPr>
          <w:rFonts w:hint="eastAsia"/>
          <w:lang w:val="en-US" w:eastAsia="zh-CN"/>
        </w:rPr>
        <w:t>5</w:t>
      </w:r>
      <w:r>
        <w:rPr>
          <w:rFonts w:hint="eastAsia"/>
        </w:rPr>
        <w:t>.4</w:t>
      </w:r>
      <w:bookmarkEnd w:id="63"/>
      <w:r>
        <w:rPr>
          <w:rFonts w:hint="eastAsia"/>
        </w:rPr>
        <w:t>通信</w:t>
      </w:r>
      <w:r>
        <w:rPr>
          <w:rFonts w:hint="eastAsia"/>
          <w:lang w:val="en-US" w:eastAsia="zh-CN"/>
        </w:rPr>
        <w:t>交通</w:t>
      </w:r>
      <w:r>
        <w:rPr>
          <w:rFonts w:hint="eastAsia"/>
        </w:rPr>
        <w:t>保障</w:t>
      </w:r>
      <w:bookmarkEnd w:id="64"/>
    </w:p>
    <w:p w14:paraId="0005A003">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通信、广播、电视等有关部门组织、指导、协调低温雨雪冰冻灾害区域应急通信和广播电视保障工作，负责应急信息的传播。</w:t>
      </w:r>
    </w:p>
    <w:p w14:paraId="00CCAE2E">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交通运输、公安等部门应当保证紧急情况下应急交通工具的优先安排、优先调度、优先放行，确保运输安全和畅通。交通设施受损时，有关部门或当地人民政府应当迅速组织力量进行抢修。</w:t>
      </w:r>
    </w:p>
    <w:p w14:paraId="3F4D483E">
      <w:pPr>
        <w:pStyle w:val="4"/>
        <w:keepNext w:val="0"/>
        <w:keepLines w:val="0"/>
        <w:pageBreakBefore w:val="0"/>
        <w:widowControl w:val="0"/>
        <w:shd w:val="clear"/>
        <w:kinsoku/>
        <w:wordWrap/>
        <w:overflowPunct/>
        <w:topLinePunct w:val="0"/>
        <w:autoSpaceDE/>
        <w:autoSpaceDN/>
        <w:bidi w:val="0"/>
        <w:adjustRightInd/>
        <w:snapToGrid/>
        <w:spacing w:line="560" w:lineRule="exact"/>
        <w:ind w:firstLine="643"/>
        <w:jc w:val="both"/>
        <w:textAlignment w:val="auto"/>
        <w:rPr>
          <w:rFonts w:hint="eastAsia"/>
          <w:lang w:val="en-US" w:eastAsia="zh-CN"/>
        </w:rPr>
      </w:pPr>
      <w:bookmarkStart w:id="65" w:name="_Toc5752"/>
      <w:bookmarkStart w:id="66" w:name="_Toc5885"/>
      <w:r>
        <w:rPr>
          <w:rFonts w:hint="eastAsia"/>
          <w:lang w:val="en-US" w:eastAsia="zh-CN"/>
        </w:rPr>
        <w:t>5.5</w:t>
      </w:r>
      <w:bookmarkEnd w:id="65"/>
      <w:r>
        <w:rPr>
          <w:rFonts w:hint="eastAsia"/>
          <w:lang w:val="en-US" w:eastAsia="zh-CN"/>
        </w:rPr>
        <w:t xml:space="preserve"> 宣传、培训和演练</w:t>
      </w:r>
      <w:bookmarkEnd w:id="66"/>
    </w:p>
    <w:p w14:paraId="55363BBA">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区政府应采取多种形式，积极做好预案的宣传工作，普及低温雨雪冰冻灾害防灾减灾与自救互救知识，增强社会公众的防灾减灾意识，提高自救、互救能力。教育部门应指导学校将低温雨雪冰冻灾害防灾应急知识纳入教学内容。</w:t>
      </w:r>
    </w:p>
    <w:p w14:paraId="089FB2FC">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lang w:val="en-US" w:eastAsia="zh-CN"/>
        </w:rPr>
        <w:t>区政府应组织应急队伍和相关部门（单位）制订应对低温雨雪冰冻灾害的培训和演练计划，组织开展应对处置专业知识、技能和管理培训，定期开展低温雨雪冰冻灾害应急演练，提高专业技能和应对处置能力，最大限度保障救援人员的</w:t>
      </w:r>
      <w:bookmarkStart w:id="67" w:name="bookmark60"/>
      <w:bookmarkEnd w:id="67"/>
      <w:r>
        <w:rPr>
          <w:rFonts w:hint="eastAsia" w:ascii="仿宋_GB2312" w:hAnsi="仿宋" w:eastAsia="仿宋_GB2312" w:cs="仿宋"/>
          <w:color w:val="333333"/>
          <w:sz w:val="32"/>
          <w:szCs w:val="32"/>
          <w:shd w:val="clear" w:color="auto" w:fill="FFFFFF"/>
          <w:lang w:val="en-US" w:eastAsia="zh-CN"/>
        </w:rPr>
        <w:t>人身安全。</w:t>
      </w:r>
    </w:p>
    <w:p w14:paraId="13AAF043">
      <w:pPr>
        <w:pStyle w:val="3"/>
        <w:keepNext w:val="0"/>
        <w:keepLines w:val="0"/>
        <w:pageBreakBefore w:val="0"/>
        <w:widowControl w:val="0"/>
        <w:shd w:val="clear"/>
        <w:kinsoku/>
        <w:wordWrap/>
        <w:overflowPunct/>
        <w:topLinePunct w:val="0"/>
        <w:autoSpaceDE/>
        <w:autoSpaceDN/>
        <w:bidi w:val="0"/>
        <w:adjustRightInd/>
        <w:snapToGrid/>
        <w:spacing w:line="540" w:lineRule="exact"/>
        <w:ind w:firstLine="640"/>
        <w:jc w:val="both"/>
        <w:textAlignment w:val="auto"/>
      </w:pPr>
      <w:bookmarkStart w:id="68" w:name="_Toc14593"/>
      <w:bookmarkStart w:id="69" w:name="_Toc12252"/>
      <w:r>
        <w:rPr>
          <w:rFonts w:hint="eastAsia"/>
          <w:lang w:val="en-US" w:eastAsia="zh-CN"/>
        </w:rPr>
        <w:t>6</w:t>
      </w:r>
      <w:r>
        <w:rPr>
          <w:rFonts w:hint="eastAsia"/>
        </w:rPr>
        <w:t>附则</w:t>
      </w:r>
      <w:bookmarkEnd w:id="68"/>
      <w:bookmarkEnd w:id="69"/>
    </w:p>
    <w:p w14:paraId="1FD00139">
      <w:pPr>
        <w:pStyle w:val="4"/>
        <w:keepNext w:val="0"/>
        <w:keepLines w:val="0"/>
        <w:pageBreakBefore w:val="0"/>
        <w:widowControl w:val="0"/>
        <w:shd w:val="clear"/>
        <w:kinsoku/>
        <w:wordWrap/>
        <w:overflowPunct/>
        <w:topLinePunct w:val="0"/>
        <w:autoSpaceDE/>
        <w:autoSpaceDN/>
        <w:bidi w:val="0"/>
        <w:adjustRightInd/>
        <w:snapToGrid/>
        <w:spacing w:line="540" w:lineRule="exact"/>
        <w:ind w:firstLine="643"/>
        <w:jc w:val="both"/>
        <w:textAlignment w:val="auto"/>
      </w:pPr>
      <w:bookmarkStart w:id="70" w:name="_Toc8737"/>
      <w:bookmarkStart w:id="71" w:name="_Toc20886"/>
      <w:r>
        <w:rPr>
          <w:rFonts w:hint="eastAsia"/>
          <w:lang w:val="en-US" w:eastAsia="zh-CN"/>
        </w:rPr>
        <w:t>6</w:t>
      </w:r>
      <w:r>
        <w:rPr>
          <w:rFonts w:hint="eastAsia"/>
        </w:rPr>
        <w:t>.1预案管理</w:t>
      </w:r>
      <w:bookmarkEnd w:id="70"/>
      <w:bookmarkEnd w:id="71"/>
    </w:p>
    <w:p w14:paraId="09CBBB1B">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（1）本预案是区政府指导低温雨雪冰冻灾害应对工作的专项预案，由</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rPr>
        <w:t>负责管理和实施，预案实施后区应急管理局应适时召集有关部门和专家进行评估，并视情况变化及时组织修订完善。</w:t>
      </w:r>
    </w:p>
    <w:p w14:paraId="67D5B4A7">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（2）各镇（街道）应制定本行政区域内的低温雨雪冰冻灾害应急预案，并报区人民政府备案。</w:t>
      </w:r>
    </w:p>
    <w:p w14:paraId="0C804D34">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（3）有关部门、企事业单位、学校和镇（街道）、村（社区）应当制定低温雨雪冰冻灾害应急行动预案和各类保障计划。</w:t>
      </w:r>
    </w:p>
    <w:p w14:paraId="632FEADE">
      <w:pPr>
        <w:pStyle w:val="4"/>
        <w:keepNext w:val="0"/>
        <w:keepLines w:val="0"/>
        <w:pageBreakBefore w:val="0"/>
        <w:widowControl w:val="0"/>
        <w:shd w:val="clear"/>
        <w:kinsoku/>
        <w:wordWrap/>
        <w:overflowPunct/>
        <w:topLinePunct w:val="0"/>
        <w:autoSpaceDE/>
        <w:autoSpaceDN/>
        <w:bidi w:val="0"/>
        <w:adjustRightInd/>
        <w:snapToGrid/>
        <w:spacing w:line="540" w:lineRule="exact"/>
        <w:ind w:firstLine="643"/>
        <w:jc w:val="both"/>
        <w:textAlignment w:val="auto"/>
        <w:rPr>
          <w:rFonts w:hint="eastAsia"/>
          <w:lang w:val="en-US" w:eastAsia="zh-CN"/>
        </w:rPr>
      </w:pPr>
      <w:bookmarkStart w:id="72" w:name="_Toc3863"/>
      <w:r>
        <w:rPr>
          <w:rFonts w:hint="eastAsia"/>
          <w:lang w:val="en-US" w:eastAsia="zh-CN"/>
        </w:rPr>
        <w:t>6.2监督检查</w:t>
      </w:r>
      <w:bookmarkEnd w:id="72"/>
    </w:p>
    <w:p w14:paraId="199563EC">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
          <w:b w:val="0"/>
          <w:bCs w:val="0"/>
          <w:color w:val="333333"/>
          <w:kern w:val="0"/>
          <w:sz w:val="32"/>
          <w:szCs w:val="32"/>
          <w:shd w:val="clear" w:color="auto" w:fill="FFFFFF"/>
          <w:lang w:val="en-US" w:eastAsia="zh-CN" w:bidi="ar-SA"/>
        </w:rPr>
      </w:pPr>
      <w:r>
        <w:rPr>
          <w:rFonts w:hint="eastAsia" w:ascii="仿宋_GB2312" w:hAnsi="仿宋" w:eastAsia="仿宋_GB2312" w:cs="仿宋"/>
          <w:b w:val="0"/>
          <w:bCs w:val="0"/>
          <w:color w:val="333333"/>
          <w:kern w:val="0"/>
          <w:sz w:val="32"/>
          <w:szCs w:val="32"/>
          <w:shd w:val="clear" w:color="auto" w:fill="FFFFFF"/>
          <w:lang w:val="en-US" w:eastAsia="zh-CN" w:bidi="ar-SA"/>
        </w:rPr>
        <w:t>在区委、区政府和区安委会领导下，由区安委会办公室会同有关成员单位，对本预案实施的全过程进行监督检查，指导全区做好低温雨雪冰冻灾害预防和应对处置工作，各镇（街道）、开发区、区直有关部门以及重点企事业单位完善低温雨雪冰冻灾害应急准备，确保防范应对措施到位。</w:t>
      </w:r>
    </w:p>
    <w:p w14:paraId="379A406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 w:val="0"/>
          <w:bCs w:val="0"/>
          <w:color w:val="333333"/>
          <w:kern w:val="0"/>
          <w:sz w:val="32"/>
          <w:szCs w:val="32"/>
          <w:shd w:val="clear" w:color="auto" w:fill="FFFFFF"/>
          <w:lang w:val="en-US" w:eastAsia="zh-CN" w:bidi="ar-SA"/>
        </w:rPr>
      </w:pPr>
      <w:r>
        <w:rPr>
          <w:rFonts w:hint="eastAsia" w:ascii="仿宋_GB2312" w:hAnsi="仿宋" w:eastAsia="仿宋_GB2312" w:cs="仿宋"/>
          <w:b w:val="0"/>
          <w:bCs w:val="0"/>
          <w:color w:val="333333"/>
          <w:kern w:val="0"/>
          <w:sz w:val="32"/>
          <w:szCs w:val="32"/>
          <w:shd w:val="clear" w:color="auto" w:fill="FFFFFF"/>
          <w:lang w:val="en-US" w:eastAsia="zh-CN" w:bidi="ar-SA"/>
        </w:rPr>
        <w:t>各行业主管部门（单位）应指导、监督本行业领域内各部门和企事业单位开展低温雨雪冰冻灾害防范应对工作。</w:t>
      </w:r>
    </w:p>
    <w:p w14:paraId="2DE0614A">
      <w:pPr>
        <w:pStyle w:val="4"/>
        <w:keepNext w:val="0"/>
        <w:keepLines w:val="0"/>
        <w:pageBreakBefore w:val="0"/>
        <w:widowControl w:val="0"/>
        <w:shd w:val="clear"/>
        <w:kinsoku/>
        <w:wordWrap/>
        <w:overflowPunct/>
        <w:topLinePunct w:val="0"/>
        <w:autoSpaceDE/>
        <w:autoSpaceDN/>
        <w:bidi w:val="0"/>
        <w:adjustRightInd/>
        <w:snapToGrid/>
        <w:spacing w:line="560" w:lineRule="exact"/>
        <w:ind w:firstLine="643"/>
        <w:jc w:val="both"/>
        <w:textAlignment w:val="auto"/>
        <w:rPr>
          <w:rFonts w:hint="eastAsia"/>
          <w:lang w:val="en-US" w:eastAsia="zh-CN"/>
        </w:rPr>
      </w:pPr>
      <w:bookmarkStart w:id="73" w:name="_Toc30587"/>
      <w:bookmarkStart w:id="74" w:name="_Toc32414"/>
      <w:bookmarkStart w:id="75" w:name="_Toc10059"/>
      <w:r>
        <w:rPr>
          <w:rFonts w:hint="eastAsia"/>
          <w:lang w:val="en-US" w:eastAsia="zh-CN"/>
        </w:rPr>
        <w:t>6.3表扬奖励与责任追究</w:t>
      </w:r>
      <w:bookmarkEnd w:id="73"/>
      <w:bookmarkEnd w:id="74"/>
    </w:p>
    <w:p w14:paraId="1807E47A">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 w:eastAsia="仿宋_GB2312" w:cs="仿宋"/>
          <w:b/>
          <w:bCs/>
          <w:color w:val="333333"/>
          <w:sz w:val="32"/>
          <w:szCs w:val="32"/>
          <w:shd w:val="clear" w:color="auto" w:fill="FFFFFF"/>
          <w:lang w:val="en-US" w:eastAsia="zh-CN"/>
        </w:rPr>
      </w:pPr>
      <w:bookmarkStart w:id="76" w:name="_Toc16937"/>
      <w:r>
        <w:rPr>
          <w:rFonts w:hint="eastAsia" w:ascii="仿宋_GB2312" w:hAnsi="仿宋" w:eastAsia="仿宋_GB2312" w:cs="仿宋"/>
          <w:b/>
          <w:bCs/>
          <w:color w:val="333333"/>
          <w:sz w:val="32"/>
          <w:szCs w:val="32"/>
          <w:shd w:val="clear" w:color="auto" w:fill="FFFFFF"/>
          <w:lang w:val="en-US" w:eastAsia="zh-CN"/>
        </w:rPr>
        <w:t>6.3.1表扬奖励</w:t>
      </w:r>
      <w:bookmarkEnd w:id="76"/>
    </w:p>
    <w:p w14:paraId="7AD80F0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 w:val="0"/>
          <w:bCs w:val="0"/>
          <w:color w:val="333333"/>
          <w:kern w:val="0"/>
          <w:sz w:val="32"/>
          <w:szCs w:val="32"/>
          <w:shd w:val="clear" w:color="auto" w:fill="FFFFFF"/>
          <w:lang w:val="en-US" w:eastAsia="zh-CN" w:bidi="ar-SA"/>
        </w:rPr>
      </w:pPr>
      <w:r>
        <w:rPr>
          <w:rFonts w:hint="eastAsia" w:ascii="仿宋_GB2312" w:hAnsi="仿宋" w:eastAsia="仿宋_GB2312" w:cs="仿宋"/>
          <w:b w:val="0"/>
          <w:bCs w:val="0"/>
          <w:color w:val="333333"/>
          <w:kern w:val="0"/>
          <w:sz w:val="32"/>
          <w:szCs w:val="32"/>
          <w:shd w:val="clear" w:color="auto" w:fill="FFFFFF"/>
          <w:lang w:val="en-US" w:eastAsia="zh-CN" w:bidi="ar-SA"/>
        </w:rPr>
        <w:t>（1）各级人民政府对在应对低温雨雪冰冻灾害中表现突出的先进集体和个人，按照有关规定给予表扬和奖励。</w:t>
      </w:r>
    </w:p>
    <w:p w14:paraId="7B4A4D9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 w:val="0"/>
          <w:bCs w:val="0"/>
          <w:color w:val="333333"/>
          <w:kern w:val="0"/>
          <w:sz w:val="32"/>
          <w:szCs w:val="32"/>
          <w:shd w:val="clear" w:color="auto" w:fill="FFFFFF"/>
          <w:lang w:val="en-US" w:eastAsia="zh-CN" w:bidi="ar-SA"/>
        </w:rPr>
      </w:pPr>
      <w:r>
        <w:rPr>
          <w:rFonts w:hint="eastAsia" w:ascii="仿宋_GB2312" w:hAnsi="仿宋" w:eastAsia="仿宋_GB2312" w:cs="仿宋"/>
          <w:b w:val="0"/>
          <w:bCs w:val="0"/>
          <w:color w:val="333333"/>
          <w:kern w:val="0"/>
          <w:sz w:val="32"/>
          <w:szCs w:val="32"/>
          <w:shd w:val="clear" w:color="auto" w:fill="FFFFFF"/>
          <w:lang w:val="en-US" w:eastAsia="zh-CN" w:bidi="ar-SA"/>
        </w:rPr>
        <w:t>（2）对因参与低温雨雪冰冻灾害抢险救援工作中致病、致残、死亡的人员，按照国家有关规定，给予相应的补助和抚恤。</w:t>
      </w:r>
    </w:p>
    <w:p w14:paraId="42C84E12">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 w:eastAsia="仿宋_GB2312" w:cs="仿宋"/>
          <w:b/>
          <w:bCs/>
          <w:color w:val="333333"/>
          <w:sz w:val="32"/>
          <w:szCs w:val="32"/>
          <w:shd w:val="clear" w:color="auto" w:fill="FFFFFF"/>
          <w:lang w:val="en-US" w:eastAsia="zh-CN"/>
        </w:rPr>
      </w:pPr>
      <w:bookmarkStart w:id="77" w:name="_Toc9792"/>
      <w:r>
        <w:rPr>
          <w:rFonts w:hint="eastAsia" w:ascii="仿宋_GB2312" w:hAnsi="仿宋" w:eastAsia="仿宋_GB2312" w:cs="仿宋"/>
          <w:b/>
          <w:bCs/>
          <w:color w:val="333333"/>
          <w:sz w:val="32"/>
          <w:szCs w:val="32"/>
          <w:shd w:val="clear" w:color="auto" w:fill="FFFFFF"/>
          <w:lang w:val="en-US" w:eastAsia="zh-CN"/>
        </w:rPr>
        <w:t>6.3.2责任追究</w:t>
      </w:r>
      <w:bookmarkEnd w:id="77"/>
    </w:p>
    <w:p w14:paraId="531C98A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 w:val="0"/>
          <w:bCs w:val="0"/>
          <w:color w:val="333333"/>
          <w:kern w:val="0"/>
          <w:sz w:val="32"/>
          <w:szCs w:val="32"/>
          <w:shd w:val="clear" w:color="auto" w:fill="FFFFFF"/>
          <w:lang w:val="en-US" w:eastAsia="zh-CN" w:bidi="ar-SA"/>
        </w:rPr>
      </w:pPr>
      <w:r>
        <w:rPr>
          <w:rFonts w:hint="eastAsia" w:ascii="仿宋_GB2312" w:hAnsi="仿宋" w:eastAsia="仿宋_GB2312" w:cs="仿宋"/>
          <w:b w:val="0"/>
          <w:bCs w:val="0"/>
          <w:color w:val="333333"/>
          <w:kern w:val="0"/>
          <w:sz w:val="32"/>
          <w:szCs w:val="32"/>
          <w:shd w:val="clear" w:color="auto" w:fill="FFFFFF"/>
          <w:lang w:val="en-US" w:eastAsia="zh-CN" w:bidi="ar-SA"/>
        </w:rPr>
        <w:t>对在应对低温雨雪冰冻灾害中，存在有《中华人民共和国突发事件应对法》第六十三条、第六十四条、第六十五条、第六十六条、第六十七条、第六十八条规定情形的部门、单位或个人，依法追究相应责任。</w:t>
      </w:r>
    </w:p>
    <w:p w14:paraId="311E71E6">
      <w:pPr>
        <w:pStyle w:val="4"/>
        <w:keepNext w:val="0"/>
        <w:keepLines w:val="0"/>
        <w:pageBreakBefore w:val="0"/>
        <w:shd w:val="clear"/>
        <w:kinsoku/>
        <w:wordWrap/>
        <w:overflowPunct/>
        <w:topLinePunct w:val="0"/>
        <w:autoSpaceDE/>
        <w:autoSpaceDN/>
        <w:bidi w:val="0"/>
        <w:adjustRightInd/>
        <w:snapToGrid/>
        <w:spacing w:line="560" w:lineRule="exact"/>
        <w:ind w:firstLine="643"/>
        <w:jc w:val="both"/>
      </w:pPr>
      <w:bookmarkStart w:id="78" w:name="_Toc200"/>
      <w:r>
        <w:rPr>
          <w:rFonts w:hint="eastAsia"/>
          <w:lang w:val="en-US" w:eastAsia="zh-CN"/>
        </w:rPr>
        <w:t>6</w:t>
      </w:r>
      <w:r>
        <w:rPr>
          <w:rFonts w:hint="eastAsia"/>
        </w:rPr>
        <w:t>.</w:t>
      </w:r>
      <w:r>
        <w:rPr>
          <w:rFonts w:hint="eastAsia"/>
          <w:lang w:val="en-US" w:eastAsia="zh-CN"/>
        </w:rPr>
        <w:t>4</w:t>
      </w:r>
      <w:r>
        <w:rPr>
          <w:rFonts w:hint="eastAsia"/>
        </w:rPr>
        <w:t>预案解释</w:t>
      </w:r>
      <w:bookmarkEnd w:id="75"/>
      <w:bookmarkEnd w:id="78"/>
    </w:p>
    <w:p w14:paraId="78044C4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本预案由</w:t>
      </w:r>
      <w:r>
        <w:rPr>
          <w:rFonts w:hint="eastAsia" w:ascii="仿宋_GB2312" w:hAnsi="仿宋" w:eastAsia="仿宋_GB2312" w:cs="仿宋"/>
          <w:color w:val="333333"/>
          <w:sz w:val="32"/>
          <w:szCs w:val="32"/>
          <w:shd w:val="clear" w:color="auto" w:fill="FFFFFF"/>
          <w:lang w:eastAsia="zh-CN"/>
        </w:rPr>
        <w:t>区安委会</w:t>
      </w:r>
      <w:r>
        <w:rPr>
          <w:rFonts w:hint="eastAsia" w:ascii="仿宋_GB2312" w:hAnsi="仿宋" w:eastAsia="仿宋_GB2312" w:cs="仿宋"/>
          <w:color w:val="333333"/>
          <w:sz w:val="32"/>
          <w:szCs w:val="32"/>
          <w:shd w:val="clear" w:color="auto" w:fill="FFFFFF"/>
          <w:lang w:val="en-US" w:eastAsia="zh-CN"/>
        </w:rPr>
        <w:t>办公室</w:t>
      </w:r>
      <w:r>
        <w:rPr>
          <w:rFonts w:hint="eastAsia" w:ascii="仿宋_GB2312" w:hAnsi="仿宋" w:eastAsia="仿宋_GB2312" w:cs="仿宋"/>
          <w:color w:val="333333"/>
          <w:sz w:val="32"/>
          <w:szCs w:val="32"/>
          <w:shd w:val="clear" w:color="auto" w:fill="FFFFFF"/>
        </w:rPr>
        <w:t>负责解释。</w:t>
      </w:r>
    </w:p>
    <w:p w14:paraId="57EE79A9">
      <w:pPr>
        <w:pStyle w:val="4"/>
        <w:keepNext w:val="0"/>
        <w:keepLines w:val="0"/>
        <w:pageBreakBefore w:val="0"/>
        <w:shd w:val="clear"/>
        <w:kinsoku/>
        <w:wordWrap/>
        <w:overflowPunct/>
        <w:topLinePunct w:val="0"/>
        <w:autoSpaceDE/>
        <w:autoSpaceDN/>
        <w:bidi w:val="0"/>
        <w:adjustRightInd/>
        <w:snapToGrid/>
        <w:spacing w:line="560" w:lineRule="exact"/>
        <w:ind w:firstLine="643"/>
        <w:jc w:val="both"/>
      </w:pPr>
      <w:bookmarkStart w:id="79" w:name="_Toc28134"/>
      <w:bookmarkStart w:id="80" w:name="_Toc10268"/>
      <w:r>
        <w:rPr>
          <w:rFonts w:hint="eastAsia"/>
          <w:lang w:val="en-US" w:eastAsia="zh-CN"/>
        </w:rPr>
        <w:t>6</w:t>
      </w:r>
      <w:r>
        <w:rPr>
          <w:rFonts w:hint="eastAsia"/>
        </w:rPr>
        <w:t>.</w:t>
      </w:r>
      <w:r>
        <w:rPr>
          <w:rFonts w:hint="eastAsia"/>
          <w:lang w:val="en-US" w:eastAsia="zh-CN"/>
        </w:rPr>
        <w:t>5</w:t>
      </w:r>
      <w:r>
        <w:rPr>
          <w:rFonts w:hint="eastAsia"/>
        </w:rPr>
        <w:t>预案实施</w:t>
      </w:r>
      <w:bookmarkEnd w:id="79"/>
      <w:bookmarkEnd w:id="80"/>
    </w:p>
    <w:p w14:paraId="72BE21A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本预案自发布之日起实施。</w:t>
      </w:r>
    </w:p>
    <w:p w14:paraId="51F5661D">
      <w:pPr>
        <w:widowControl w:val="0"/>
        <w:spacing w:line="560" w:lineRule="exact"/>
        <w:rPr>
          <w:rFonts w:ascii="黑体" w:hAnsi="黑体" w:eastAsia="黑体" w:cs="仿宋"/>
          <w:b/>
          <w:bCs/>
          <w:color w:val="333333"/>
          <w:sz w:val="32"/>
          <w:szCs w:val="32"/>
          <w:shd w:val="clear" w:color="auto" w:fill="FFFFFF"/>
        </w:rPr>
      </w:pPr>
      <w:r>
        <w:rPr>
          <w:rFonts w:ascii="仿宋_GB2312" w:hAnsi="仿宋" w:eastAsia="仿宋_GB2312" w:cs="仿宋"/>
          <w:color w:val="333333"/>
          <w:sz w:val="32"/>
          <w:szCs w:val="32"/>
          <w:shd w:val="clear" w:color="auto" w:fill="FFFFFF"/>
        </w:rPr>
        <w:br w:type="page"/>
      </w:r>
      <w:r>
        <w:rPr>
          <w:rFonts w:hint="eastAsia" w:ascii="黑体" w:hAnsi="黑体" w:eastAsia="黑体" w:cs="仿宋"/>
          <w:b/>
          <w:bCs/>
          <w:color w:val="333333"/>
          <w:sz w:val="32"/>
          <w:szCs w:val="32"/>
          <w:shd w:val="clear" w:color="auto" w:fill="FFFFFF"/>
        </w:rPr>
        <w:t>附件：</w:t>
      </w:r>
    </w:p>
    <w:p w14:paraId="74ED9EDA">
      <w:pPr>
        <w:widowControl w:val="0"/>
        <w:spacing w:line="560" w:lineRule="exact"/>
        <w:jc w:val="center"/>
        <w:rPr>
          <w:rFonts w:hint="eastAsia" w:ascii="仿宋_GB2312" w:hAnsi="仿宋" w:eastAsia="仿宋_GB2312" w:cs="仿宋"/>
          <w:color w:val="333333"/>
          <w:sz w:val="32"/>
          <w:szCs w:val="32"/>
          <w:shd w:val="clear" w:color="auto" w:fill="FFFFFF"/>
          <w:lang w:val="en-US" w:eastAsia="zh-CN"/>
        </w:rPr>
      </w:pPr>
      <w:r>
        <w:rPr>
          <w:rFonts w:hint="eastAsia" w:ascii="仿宋_GB2312" w:hAnsi="仿宋" w:eastAsia="仿宋_GB2312" w:cs="仿宋"/>
          <w:color w:val="333333"/>
          <w:sz w:val="32"/>
          <w:szCs w:val="32"/>
          <w:shd w:val="clear" w:color="auto" w:fill="FFFFFF"/>
        </w:rPr>
        <w:t>烈山区</w:t>
      </w:r>
      <w:r>
        <w:rPr>
          <w:rFonts w:hint="eastAsia" w:ascii="仿宋_GB2312" w:hAnsi="仿宋" w:eastAsia="仿宋_GB2312" w:cs="仿宋"/>
          <w:color w:val="333333"/>
          <w:sz w:val="32"/>
          <w:szCs w:val="32"/>
          <w:shd w:val="clear" w:color="auto" w:fill="FFFFFF"/>
          <w:lang w:val="en-US" w:eastAsia="zh-CN"/>
        </w:rPr>
        <w:t>安全生产（防灾减灾救灾）委员会</w:t>
      </w:r>
    </w:p>
    <w:p w14:paraId="3A46B4A9">
      <w:pPr>
        <w:widowControl w:val="0"/>
        <w:spacing w:line="560" w:lineRule="exact"/>
        <w:jc w:val="center"/>
        <w:rPr>
          <w:rFonts w:hint="eastAsia"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lang w:val="en-US" w:eastAsia="zh-CN"/>
        </w:rPr>
        <w:t>相关成员单位</w:t>
      </w:r>
      <w:r>
        <w:rPr>
          <w:rFonts w:hint="eastAsia" w:ascii="仿宋_GB2312" w:hAnsi="仿宋" w:eastAsia="仿宋_GB2312" w:cs="仿宋"/>
          <w:color w:val="333333"/>
          <w:sz w:val="32"/>
          <w:szCs w:val="32"/>
          <w:shd w:val="clear" w:color="auto" w:fill="FFFFFF"/>
        </w:rPr>
        <w:t>联系方式</w:t>
      </w:r>
    </w:p>
    <w:p w14:paraId="779C74DD">
      <w:pPr>
        <w:rPr>
          <w:rFonts w:ascii="仿宋_GB2312" w:hAnsi="仿宋" w:eastAsia="仿宋_GB2312" w:cs="仿宋"/>
          <w:color w:val="333333"/>
          <w:sz w:val="32"/>
          <w:szCs w:val="32"/>
          <w:shd w:val="clear" w:color="auto" w:fill="FFFFFF"/>
        </w:rPr>
      </w:pPr>
    </w:p>
    <w:tbl>
      <w:tblPr>
        <w:tblStyle w:val="15"/>
        <w:tblW w:w="9035" w:type="dxa"/>
        <w:tblInd w:w="93" w:type="dxa"/>
        <w:tblLayout w:type="autofit"/>
        <w:tblCellMar>
          <w:top w:w="0" w:type="dxa"/>
          <w:left w:w="108" w:type="dxa"/>
          <w:bottom w:w="0" w:type="dxa"/>
          <w:right w:w="108" w:type="dxa"/>
        </w:tblCellMar>
      </w:tblPr>
      <w:tblGrid>
        <w:gridCol w:w="866"/>
        <w:gridCol w:w="2739"/>
        <w:gridCol w:w="1350"/>
        <w:gridCol w:w="2010"/>
        <w:gridCol w:w="2070"/>
      </w:tblGrid>
      <w:tr w14:paraId="44BCD53E">
        <w:tblPrEx>
          <w:tblCellMar>
            <w:top w:w="0" w:type="dxa"/>
            <w:left w:w="108" w:type="dxa"/>
            <w:bottom w:w="0" w:type="dxa"/>
            <w:right w:w="108" w:type="dxa"/>
          </w:tblCellMar>
        </w:tblPrEx>
        <w:trPr>
          <w:trHeight w:val="481"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14:paraId="6397CCF1">
            <w:pPr>
              <w:jc w:val="center"/>
              <w:rPr>
                <w:rFonts w:ascii="黑体" w:hAnsi="黑体" w:eastAsia="黑体" w:cs="宋体"/>
                <w:color w:val="000000"/>
                <w:sz w:val="24"/>
                <w:szCs w:val="24"/>
              </w:rPr>
            </w:pPr>
            <w:r>
              <w:rPr>
                <w:rFonts w:hint="eastAsia" w:ascii="黑体" w:hAnsi="黑体" w:eastAsia="黑体" w:cs="宋体"/>
                <w:color w:val="000000"/>
                <w:sz w:val="24"/>
                <w:szCs w:val="24"/>
              </w:rPr>
              <w:t>序号</w:t>
            </w:r>
          </w:p>
        </w:tc>
        <w:tc>
          <w:tcPr>
            <w:tcW w:w="2739" w:type="dxa"/>
            <w:tcBorders>
              <w:top w:val="single" w:color="auto" w:sz="4" w:space="0"/>
              <w:left w:val="nil"/>
              <w:bottom w:val="single" w:color="auto" w:sz="4" w:space="0"/>
              <w:right w:val="single" w:color="auto" w:sz="4" w:space="0"/>
            </w:tcBorders>
            <w:shd w:val="clear" w:color="auto" w:fill="auto"/>
            <w:vAlign w:val="center"/>
          </w:tcPr>
          <w:p w14:paraId="519E1497">
            <w:pPr>
              <w:jc w:val="center"/>
              <w:rPr>
                <w:rFonts w:ascii="黑体" w:hAnsi="黑体" w:eastAsia="黑体" w:cs="宋体"/>
                <w:color w:val="000000"/>
                <w:sz w:val="24"/>
                <w:szCs w:val="24"/>
              </w:rPr>
            </w:pPr>
            <w:r>
              <w:rPr>
                <w:rFonts w:hint="eastAsia" w:ascii="黑体" w:hAnsi="黑体" w:eastAsia="黑体" w:cs="宋体"/>
                <w:color w:val="000000"/>
                <w:sz w:val="24"/>
                <w:szCs w:val="24"/>
              </w:rPr>
              <w:t>单位名称</w:t>
            </w:r>
          </w:p>
        </w:tc>
        <w:tc>
          <w:tcPr>
            <w:tcW w:w="1350" w:type="dxa"/>
            <w:tcBorders>
              <w:top w:val="single" w:color="auto" w:sz="4" w:space="0"/>
              <w:left w:val="nil"/>
              <w:bottom w:val="single" w:color="auto" w:sz="4" w:space="0"/>
              <w:right w:val="single" w:color="auto" w:sz="4" w:space="0"/>
            </w:tcBorders>
            <w:shd w:val="clear" w:color="auto" w:fill="auto"/>
            <w:vAlign w:val="center"/>
          </w:tcPr>
          <w:p w14:paraId="3888B2EE">
            <w:pPr>
              <w:jc w:val="center"/>
              <w:rPr>
                <w:rFonts w:ascii="黑体" w:hAnsi="黑体" w:eastAsia="黑体" w:cs="宋体"/>
                <w:color w:val="000000"/>
                <w:sz w:val="24"/>
                <w:szCs w:val="24"/>
              </w:rPr>
            </w:pPr>
            <w:r>
              <w:rPr>
                <w:rFonts w:hint="eastAsia" w:ascii="黑体" w:hAnsi="黑体" w:eastAsia="黑体" w:cs="宋体"/>
                <w:color w:val="000000"/>
                <w:sz w:val="24"/>
                <w:szCs w:val="24"/>
              </w:rPr>
              <w:t>负责人</w:t>
            </w:r>
          </w:p>
        </w:tc>
        <w:tc>
          <w:tcPr>
            <w:tcW w:w="2010" w:type="dxa"/>
            <w:tcBorders>
              <w:top w:val="single" w:color="auto" w:sz="4" w:space="0"/>
              <w:left w:val="nil"/>
              <w:bottom w:val="single" w:color="auto" w:sz="4" w:space="0"/>
              <w:right w:val="single" w:color="auto" w:sz="4" w:space="0"/>
            </w:tcBorders>
            <w:shd w:val="clear" w:color="auto" w:fill="auto"/>
            <w:vAlign w:val="center"/>
          </w:tcPr>
          <w:p w14:paraId="6F4538A3">
            <w:pPr>
              <w:jc w:val="center"/>
              <w:rPr>
                <w:rFonts w:ascii="黑体" w:hAnsi="黑体" w:eastAsia="黑体" w:cs="宋体"/>
                <w:color w:val="000000"/>
                <w:sz w:val="24"/>
                <w:szCs w:val="24"/>
              </w:rPr>
            </w:pPr>
            <w:r>
              <w:rPr>
                <w:rFonts w:hint="eastAsia" w:ascii="黑体" w:hAnsi="黑体" w:eastAsia="黑体" w:cs="宋体"/>
                <w:color w:val="000000"/>
                <w:sz w:val="24"/>
                <w:szCs w:val="24"/>
              </w:rPr>
              <w:t>职务</w:t>
            </w:r>
          </w:p>
        </w:tc>
        <w:tc>
          <w:tcPr>
            <w:tcW w:w="2070" w:type="dxa"/>
            <w:tcBorders>
              <w:top w:val="single" w:color="auto" w:sz="4" w:space="0"/>
              <w:left w:val="nil"/>
              <w:bottom w:val="single" w:color="auto" w:sz="4" w:space="0"/>
              <w:right w:val="single" w:color="auto" w:sz="4" w:space="0"/>
            </w:tcBorders>
            <w:shd w:val="clear" w:color="auto" w:fill="auto"/>
            <w:vAlign w:val="center"/>
          </w:tcPr>
          <w:p w14:paraId="4D9ABFCC">
            <w:pPr>
              <w:jc w:val="center"/>
              <w:rPr>
                <w:rFonts w:ascii="黑体" w:hAnsi="黑体" w:eastAsia="黑体" w:cs="宋体"/>
                <w:color w:val="000000"/>
                <w:sz w:val="24"/>
                <w:szCs w:val="24"/>
              </w:rPr>
            </w:pPr>
            <w:r>
              <w:rPr>
                <w:rFonts w:hint="eastAsia" w:ascii="黑体" w:hAnsi="黑体" w:eastAsia="黑体" w:cs="宋体"/>
                <w:color w:val="000000"/>
                <w:sz w:val="24"/>
                <w:szCs w:val="24"/>
              </w:rPr>
              <w:t>联系方式</w:t>
            </w:r>
          </w:p>
        </w:tc>
      </w:tr>
      <w:tr w14:paraId="5576BAF4">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1B4D8717">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p>
        </w:tc>
        <w:tc>
          <w:tcPr>
            <w:tcW w:w="2739" w:type="dxa"/>
            <w:tcBorders>
              <w:top w:val="nil"/>
              <w:left w:val="nil"/>
              <w:bottom w:val="single" w:color="auto" w:sz="4" w:space="0"/>
              <w:right w:val="single" w:color="auto" w:sz="4" w:space="0"/>
            </w:tcBorders>
            <w:shd w:val="clear" w:color="auto" w:fill="auto"/>
            <w:vAlign w:val="center"/>
          </w:tcPr>
          <w:p w14:paraId="08442F7C">
            <w:pPr>
              <w:jc w:val="center"/>
              <w:rPr>
                <w:rFonts w:ascii="仿宋" w:hAnsi="仿宋" w:eastAsia="仿宋" w:cs="宋体"/>
                <w:color w:val="000000"/>
                <w:sz w:val="24"/>
                <w:szCs w:val="24"/>
              </w:rPr>
            </w:pPr>
            <w:r>
              <w:rPr>
                <w:rFonts w:hint="eastAsia" w:ascii="仿宋" w:hAnsi="仿宋" w:eastAsia="仿宋" w:cs="宋体"/>
                <w:color w:val="000000"/>
                <w:sz w:val="24"/>
                <w:szCs w:val="24"/>
              </w:rPr>
              <w:t>区委宣传部</w:t>
            </w:r>
          </w:p>
        </w:tc>
        <w:tc>
          <w:tcPr>
            <w:tcW w:w="1350" w:type="dxa"/>
            <w:tcBorders>
              <w:top w:val="nil"/>
              <w:left w:val="nil"/>
              <w:bottom w:val="single" w:color="auto" w:sz="4" w:space="0"/>
              <w:right w:val="single" w:color="auto" w:sz="4" w:space="0"/>
            </w:tcBorders>
            <w:shd w:val="clear" w:color="auto" w:fill="auto"/>
            <w:vAlign w:val="center"/>
          </w:tcPr>
          <w:p w14:paraId="3ADE6F61">
            <w:pPr>
              <w:jc w:val="center"/>
              <w:rPr>
                <w:rFonts w:ascii="仿宋" w:hAnsi="仿宋" w:eastAsia="仿宋" w:cs="宋体"/>
                <w:color w:val="000000"/>
                <w:sz w:val="24"/>
                <w:szCs w:val="24"/>
              </w:rPr>
            </w:pPr>
            <w:r>
              <w:rPr>
                <w:rFonts w:hint="eastAsia" w:ascii="仿宋" w:hAnsi="仿宋" w:eastAsia="仿宋" w:cs="宋体"/>
                <w:color w:val="000000"/>
                <w:sz w:val="24"/>
                <w:szCs w:val="24"/>
              </w:rPr>
              <w:t>方惠</w:t>
            </w:r>
          </w:p>
        </w:tc>
        <w:tc>
          <w:tcPr>
            <w:tcW w:w="2010" w:type="dxa"/>
            <w:tcBorders>
              <w:top w:val="nil"/>
              <w:left w:val="nil"/>
              <w:bottom w:val="single" w:color="auto" w:sz="4" w:space="0"/>
              <w:right w:val="single" w:color="auto" w:sz="4" w:space="0"/>
            </w:tcBorders>
            <w:shd w:val="clear" w:color="auto" w:fill="auto"/>
            <w:vAlign w:val="center"/>
          </w:tcPr>
          <w:p w14:paraId="0263B316">
            <w:pPr>
              <w:jc w:val="center"/>
              <w:rPr>
                <w:rFonts w:ascii="仿宋" w:hAnsi="仿宋" w:eastAsia="仿宋" w:cs="宋体"/>
                <w:color w:val="000000"/>
                <w:sz w:val="24"/>
                <w:szCs w:val="24"/>
              </w:rPr>
            </w:pPr>
            <w:r>
              <w:rPr>
                <w:rFonts w:hint="eastAsia" w:ascii="仿宋" w:hAnsi="仿宋" w:eastAsia="仿宋" w:cs="宋体"/>
                <w:color w:val="000000"/>
                <w:sz w:val="24"/>
                <w:szCs w:val="24"/>
              </w:rPr>
              <w:t>常务副部长</w:t>
            </w:r>
          </w:p>
        </w:tc>
        <w:tc>
          <w:tcPr>
            <w:tcW w:w="2070" w:type="dxa"/>
            <w:tcBorders>
              <w:top w:val="nil"/>
              <w:left w:val="nil"/>
              <w:bottom w:val="single" w:color="auto" w:sz="4" w:space="0"/>
              <w:right w:val="single" w:color="auto" w:sz="4" w:space="0"/>
            </w:tcBorders>
            <w:shd w:val="clear" w:color="auto" w:fill="auto"/>
            <w:vAlign w:val="center"/>
          </w:tcPr>
          <w:p w14:paraId="45D9F41C">
            <w:pPr>
              <w:jc w:val="center"/>
              <w:rPr>
                <w:rFonts w:ascii="仿宋" w:hAnsi="仿宋" w:eastAsia="仿宋" w:cs="宋体"/>
                <w:color w:val="000000"/>
                <w:sz w:val="24"/>
                <w:szCs w:val="24"/>
              </w:rPr>
            </w:pPr>
            <w:r>
              <w:rPr>
                <w:rFonts w:hint="eastAsia" w:ascii="仿宋" w:hAnsi="仿宋" w:eastAsia="仿宋" w:cs="宋体"/>
                <w:color w:val="000000"/>
                <w:sz w:val="24"/>
                <w:szCs w:val="24"/>
              </w:rPr>
              <w:t>18110331372</w:t>
            </w:r>
          </w:p>
        </w:tc>
      </w:tr>
      <w:tr w14:paraId="4D737B5E">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46EEF8E2">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p>
        </w:tc>
        <w:tc>
          <w:tcPr>
            <w:tcW w:w="2739" w:type="dxa"/>
            <w:tcBorders>
              <w:top w:val="nil"/>
              <w:left w:val="nil"/>
              <w:bottom w:val="single" w:color="auto" w:sz="4" w:space="0"/>
              <w:right w:val="single" w:color="auto" w:sz="4" w:space="0"/>
            </w:tcBorders>
            <w:shd w:val="clear" w:color="auto" w:fill="auto"/>
            <w:vAlign w:val="center"/>
          </w:tcPr>
          <w:p w14:paraId="58CED290">
            <w:pPr>
              <w:jc w:val="center"/>
              <w:rPr>
                <w:rFonts w:ascii="仿宋" w:hAnsi="仿宋" w:eastAsia="仿宋" w:cs="宋体"/>
                <w:color w:val="000000"/>
                <w:sz w:val="24"/>
                <w:szCs w:val="24"/>
              </w:rPr>
            </w:pPr>
            <w:r>
              <w:rPr>
                <w:rFonts w:hint="eastAsia" w:ascii="仿宋" w:hAnsi="仿宋" w:eastAsia="仿宋" w:cs="宋体"/>
                <w:color w:val="000000"/>
                <w:sz w:val="24"/>
                <w:szCs w:val="24"/>
              </w:rPr>
              <w:t>区人武部</w:t>
            </w:r>
          </w:p>
        </w:tc>
        <w:tc>
          <w:tcPr>
            <w:tcW w:w="1350" w:type="dxa"/>
            <w:tcBorders>
              <w:top w:val="nil"/>
              <w:left w:val="nil"/>
              <w:bottom w:val="single" w:color="auto" w:sz="4" w:space="0"/>
              <w:right w:val="single" w:color="auto" w:sz="4" w:space="0"/>
            </w:tcBorders>
            <w:shd w:val="clear" w:color="auto" w:fill="auto"/>
            <w:vAlign w:val="center"/>
          </w:tcPr>
          <w:p w14:paraId="1170BDB3">
            <w:pPr>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2010" w:type="dxa"/>
            <w:tcBorders>
              <w:top w:val="nil"/>
              <w:left w:val="nil"/>
              <w:bottom w:val="single" w:color="auto" w:sz="4" w:space="0"/>
              <w:right w:val="single" w:color="auto" w:sz="4" w:space="0"/>
            </w:tcBorders>
            <w:shd w:val="clear" w:color="auto" w:fill="auto"/>
            <w:vAlign w:val="center"/>
          </w:tcPr>
          <w:p w14:paraId="2D2A3845">
            <w:pPr>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2070" w:type="dxa"/>
            <w:tcBorders>
              <w:top w:val="nil"/>
              <w:left w:val="nil"/>
              <w:bottom w:val="single" w:color="auto" w:sz="4" w:space="0"/>
              <w:right w:val="single" w:color="auto" w:sz="4" w:space="0"/>
            </w:tcBorders>
            <w:shd w:val="clear" w:color="auto" w:fill="auto"/>
            <w:vAlign w:val="center"/>
          </w:tcPr>
          <w:p w14:paraId="47BD8A67">
            <w:pPr>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14:paraId="32F582E6">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625098D7">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w:t>
            </w:r>
          </w:p>
        </w:tc>
        <w:tc>
          <w:tcPr>
            <w:tcW w:w="2739" w:type="dxa"/>
            <w:tcBorders>
              <w:top w:val="nil"/>
              <w:left w:val="nil"/>
              <w:bottom w:val="single" w:color="auto" w:sz="4" w:space="0"/>
              <w:right w:val="single" w:color="auto" w:sz="4" w:space="0"/>
            </w:tcBorders>
            <w:shd w:val="clear" w:color="auto" w:fill="auto"/>
            <w:vAlign w:val="center"/>
          </w:tcPr>
          <w:p w14:paraId="49046C30">
            <w:pPr>
              <w:jc w:val="center"/>
              <w:rPr>
                <w:rFonts w:ascii="仿宋" w:hAnsi="仿宋" w:eastAsia="仿宋" w:cs="宋体"/>
                <w:color w:val="000000"/>
                <w:sz w:val="24"/>
                <w:szCs w:val="24"/>
              </w:rPr>
            </w:pPr>
            <w:r>
              <w:rPr>
                <w:rFonts w:hint="eastAsia" w:ascii="仿宋" w:hAnsi="仿宋" w:eastAsia="仿宋" w:cs="宋体"/>
                <w:color w:val="000000"/>
                <w:sz w:val="24"/>
                <w:szCs w:val="24"/>
              </w:rPr>
              <w:t>区发展和改革委员会</w:t>
            </w:r>
          </w:p>
        </w:tc>
        <w:tc>
          <w:tcPr>
            <w:tcW w:w="1350" w:type="dxa"/>
            <w:tcBorders>
              <w:top w:val="nil"/>
              <w:left w:val="nil"/>
              <w:bottom w:val="single" w:color="auto" w:sz="4" w:space="0"/>
              <w:right w:val="single" w:color="auto" w:sz="4" w:space="0"/>
            </w:tcBorders>
            <w:shd w:val="clear" w:color="auto" w:fill="auto"/>
            <w:vAlign w:val="center"/>
          </w:tcPr>
          <w:p w14:paraId="49B73F7C">
            <w:pPr>
              <w:jc w:val="center"/>
              <w:rPr>
                <w:rFonts w:ascii="仿宋" w:hAnsi="仿宋" w:eastAsia="仿宋" w:cs="宋体"/>
                <w:color w:val="000000"/>
                <w:sz w:val="24"/>
                <w:szCs w:val="24"/>
              </w:rPr>
            </w:pPr>
            <w:r>
              <w:rPr>
                <w:rFonts w:hint="eastAsia" w:ascii="仿宋" w:hAnsi="仿宋" w:eastAsia="仿宋" w:cs="宋体"/>
                <w:color w:val="000000"/>
                <w:sz w:val="24"/>
                <w:szCs w:val="24"/>
              </w:rPr>
              <w:t>郭宇</w:t>
            </w:r>
          </w:p>
        </w:tc>
        <w:tc>
          <w:tcPr>
            <w:tcW w:w="2010" w:type="dxa"/>
            <w:tcBorders>
              <w:top w:val="nil"/>
              <w:left w:val="nil"/>
              <w:bottom w:val="single" w:color="auto" w:sz="4" w:space="0"/>
              <w:right w:val="single" w:color="auto" w:sz="4" w:space="0"/>
            </w:tcBorders>
            <w:shd w:val="clear" w:color="auto" w:fill="auto"/>
            <w:vAlign w:val="center"/>
          </w:tcPr>
          <w:p w14:paraId="160B4DEB">
            <w:pPr>
              <w:jc w:val="center"/>
              <w:rPr>
                <w:rFonts w:ascii="仿宋" w:hAnsi="仿宋" w:eastAsia="仿宋" w:cs="宋体"/>
                <w:color w:val="000000"/>
                <w:sz w:val="24"/>
                <w:szCs w:val="24"/>
              </w:rPr>
            </w:pPr>
            <w:r>
              <w:rPr>
                <w:rFonts w:hint="eastAsia" w:ascii="仿宋" w:hAnsi="仿宋" w:eastAsia="仿宋" w:cs="宋体"/>
                <w:color w:val="000000"/>
                <w:sz w:val="24"/>
                <w:szCs w:val="24"/>
              </w:rPr>
              <w:t>主任科员</w:t>
            </w:r>
          </w:p>
        </w:tc>
        <w:tc>
          <w:tcPr>
            <w:tcW w:w="2070" w:type="dxa"/>
            <w:tcBorders>
              <w:top w:val="nil"/>
              <w:left w:val="nil"/>
              <w:bottom w:val="single" w:color="auto" w:sz="4" w:space="0"/>
              <w:right w:val="single" w:color="auto" w:sz="4" w:space="0"/>
            </w:tcBorders>
            <w:shd w:val="clear" w:color="auto" w:fill="auto"/>
            <w:vAlign w:val="center"/>
          </w:tcPr>
          <w:p w14:paraId="4AB8E9FE">
            <w:pPr>
              <w:jc w:val="center"/>
              <w:rPr>
                <w:rFonts w:ascii="仿宋" w:hAnsi="仿宋" w:eastAsia="仿宋" w:cs="宋体"/>
                <w:color w:val="000000"/>
                <w:sz w:val="24"/>
                <w:szCs w:val="24"/>
              </w:rPr>
            </w:pPr>
            <w:r>
              <w:rPr>
                <w:rFonts w:hint="eastAsia" w:ascii="仿宋" w:hAnsi="仿宋" w:eastAsia="仿宋" w:cs="宋体"/>
                <w:color w:val="000000"/>
                <w:sz w:val="24"/>
                <w:szCs w:val="24"/>
              </w:rPr>
              <w:t>13905612861</w:t>
            </w:r>
          </w:p>
        </w:tc>
      </w:tr>
      <w:tr w14:paraId="41F038FA">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0FAB924A">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w:t>
            </w:r>
          </w:p>
        </w:tc>
        <w:tc>
          <w:tcPr>
            <w:tcW w:w="2739" w:type="dxa"/>
            <w:tcBorders>
              <w:top w:val="nil"/>
              <w:left w:val="nil"/>
              <w:bottom w:val="single" w:color="auto" w:sz="4" w:space="0"/>
              <w:right w:val="single" w:color="auto" w:sz="4" w:space="0"/>
            </w:tcBorders>
            <w:shd w:val="clear" w:color="auto" w:fill="auto"/>
            <w:vAlign w:val="center"/>
          </w:tcPr>
          <w:p w14:paraId="4417E777">
            <w:pPr>
              <w:jc w:val="center"/>
              <w:rPr>
                <w:rFonts w:ascii="仿宋" w:hAnsi="仿宋" w:eastAsia="仿宋" w:cs="宋体"/>
                <w:color w:val="000000"/>
                <w:sz w:val="24"/>
                <w:szCs w:val="24"/>
              </w:rPr>
            </w:pPr>
            <w:r>
              <w:rPr>
                <w:rFonts w:hint="eastAsia" w:ascii="仿宋" w:hAnsi="仿宋" w:eastAsia="仿宋" w:cs="宋体"/>
                <w:color w:val="000000"/>
                <w:sz w:val="24"/>
                <w:szCs w:val="24"/>
              </w:rPr>
              <w:t>区教育局</w:t>
            </w:r>
          </w:p>
        </w:tc>
        <w:tc>
          <w:tcPr>
            <w:tcW w:w="1350" w:type="dxa"/>
            <w:tcBorders>
              <w:top w:val="nil"/>
              <w:left w:val="nil"/>
              <w:bottom w:val="single" w:color="auto" w:sz="4" w:space="0"/>
              <w:right w:val="single" w:color="auto" w:sz="4" w:space="0"/>
            </w:tcBorders>
            <w:shd w:val="clear" w:color="auto" w:fill="auto"/>
            <w:vAlign w:val="center"/>
          </w:tcPr>
          <w:p w14:paraId="64179E1D">
            <w:pPr>
              <w:jc w:val="center"/>
              <w:rPr>
                <w:rFonts w:ascii="仿宋" w:hAnsi="仿宋" w:eastAsia="仿宋" w:cs="宋体"/>
                <w:color w:val="000000"/>
                <w:sz w:val="24"/>
                <w:szCs w:val="24"/>
              </w:rPr>
            </w:pPr>
            <w:r>
              <w:rPr>
                <w:rFonts w:hint="eastAsia" w:ascii="仿宋" w:hAnsi="仿宋" w:eastAsia="仿宋" w:cs="宋体"/>
                <w:color w:val="000000"/>
                <w:sz w:val="24"/>
                <w:szCs w:val="24"/>
              </w:rPr>
              <w:t>陈鹏鸟</w:t>
            </w:r>
          </w:p>
        </w:tc>
        <w:tc>
          <w:tcPr>
            <w:tcW w:w="2010" w:type="dxa"/>
            <w:tcBorders>
              <w:top w:val="nil"/>
              <w:left w:val="nil"/>
              <w:bottom w:val="single" w:color="auto" w:sz="4" w:space="0"/>
              <w:right w:val="single" w:color="auto" w:sz="4" w:space="0"/>
            </w:tcBorders>
            <w:shd w:val="clear" w:color="auto" w:fill="auto"/>
            <w:vAlign w:val="center"/>
          </w:tcPr>
          <w:p w14:paraId="7919AF39">
            <w:pPr>
              <w:jc w:val="center"/>
              <w:rPr>
                <w:rFonts w:ascii="仿宋" w:hAnsi="仿宋" w:eastAsia="仿宋" w:cs="宋体"/>
                <w:color w:val="000000"/>
                <w:sz w:val="24"/>
                <w:szCs w:val="24"/>
              </w:rPr>
            </w:pPr>
            <w:r>
              <w:rPr>
                <w:rFonts w:hint="eastAsia" w:ascii="仿宋" w:hAnsi="仿宋" w:eastAsia="仿宋" w:cs="宋体"/>
                <w:color w:val="000000"/>
                <w:sz w:val="24"/>
                <w:szCs w:val="24"/>
              </w:rPr>
              <w:t>副局长</w:t>
            </w:r>
          </w:p>
        </w:tc>
        <w:tc>
          <w:tcPr>
            <w:tcW w:w="2070" w:type="dxa"/>
            <w:tcBorders>
              <w:top w:val="nil"/>
              <w:left w:val="nil"/>
              <w:bottom w:val="single" w:color="auto" w:sz="4" w:space="0"/>
              <w:right w:val="single" w:color="auto" w:sz="4" w:space="0"/>
            </w:tcBorders>
            <w:shd w:val="clear" w:color="auto" w:fill="auto"/>
            <w:vAlign w:val="center"/>
          </w:tcPr>
          <w:p w14:paraId="6964251A">
            <w:pPr>
              <w:jc w:val="center"/>
              <w:rPr>
                <w:rFonts w:ascii="仿宋" w:hAnsi="仿宋" w:eastAsia="仿宋" w:cs="宋体"/>
                <w:color w:val="000000"/>
                <w:sz w:val="24"/>
                <w:szCs w:val="24"/>
              </w:rPr>
            </w:pPr>
            <w:r>
              <w:rPr>
                <w:rFonts w:hint="eastAsia" w:ascii="仿宋" w:hAnsi="仿宋" w:eastAsia="仿宋" w:cs="宋体"/>
                <w:color w:val="000000"/>
                <w:sz w:val="24"/>
                <w:szCs w:val="24"/>
              </w:rPr>
              <w:t>13305619822</w:t>
            </w:r>
          </w:p>
        </w:tc>
      </w:tr>
      <w:tr w14:paraId="4ADA0129">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37C6A331">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p>
        </w:tc>
        <w:tc>
          <w:tcPr>
            <w:tcW w:w="2739" w:type="dxa"/>
            <w:tcBorders>
              <w:top w:val="nil"/>
              <w:left w:val="nil"/>
              <w:bottom w:val="single" w:color="auto" w:sz="4" w:space="0"/>
              <w:right w:val="single" w:color="auto" w:sz="4" w:space="0"/>
            </w:tcBorders>
            <w:shd w:val="clear" w:color="auto" w:fill="auto"/>
            <w:vAlign w:val="center"/>
          </w:tcPr>
          <w:p w14:paraId="5A6F5682">
            <w:pPr>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区科技工业信息化局</w:t>
            </w:r>
          </w:p>
        </w:tc>
        <w:tc>
          <w:tcPr>
            <w:tcW w:w="1350" w:type="dxa"/>
            <w:tcBorders>
              <w:top w:val="nil"/>
              <w:left w:val="nil"/>
              <w:bottom w:val="single" w:color="auto" w:sz="4" w:space="0"/>
              <w:right w:val="single" w:color="auto" w:sz="4" w:space="0"/>
            </w:tcBorders>
            <w:shd w:val="clear" w:color="auto" w:fill="auto"/>
            <w:vAlign w:val="center"/>
          </w:tcPr>
          <w:p w14:paraId="7C568C8B">
            <w:pPr>
              <w:jc w:val="center"/>
              <w:rPr>
                <w:rFonts w:ascii="仿宋" w:hAnsi="仿宋" w:eastAsia="仿宋" w:cs="宋体"/>
                <w:color w:val="000000"/>
                <w:sz w:val="24"/>
                <w:szCs w:val="24"/>
              </w:rPr>
            </w:pPr>
            <w:r>
              <w:rPr>
                <w:rFonts w:hint="eastAsia" w:ascii="仿宋" w:hAnsi="仿宋" w:eastAsia="仿宋" w:cs="宋体"/>
                <w:color w:val="000000"/>
                <w:sz w:val="24"/>
                <w:szCs w:val="24"/>
              </w:rPr>
              <w:t>陆传岭</w:t>
            </w:r>
          </w:p>
        </w:tc>
        <w:tc>
          <w:tcPr>
            <w:tcW w:w="2010" w:type="dxa"/>
            <w:tcBorders>
              <w:top w:val="nil"/>
              <w:left w:val="nil"/>
              <w:bottom w:val="single" w:color="auto" w:sz="4" w:space="0"/>
              <w:right w:val="single" w:color="auto" w:sz="4" w:space="0"/>
            </w:tcBorders>
            <w:shd w:val="clear" w:color="auto" w:fill="auto"/>
            <w:vAlign w:val="center"/>
          </w:tcPr>
          <w:p w14:paraId="1F5AB01A">
            <w:pPr>
              <w:jc w:val="center"/>
              <w:rPr>
                <w:rFonts w:ascii="仿宋" w:hAnsi="仿宋" w:eastAsia="仿宋" w:cs="宋体"/>
                <w:color w:val="000000"/>
                <w:sz w:val="24"/>
                <w:szCs w:val="24"/>
              </w:rPr>
            </w:pPr>
            <w:r>
              <w:rPr>
                <w:rFonts w:hint="eastAsia" w:ascii="仿宋" w:hAnsi="仿宋" w:eastAsia="仿宋" w:cs="宋体"/>
                <w:color w:val="000000"/>
                <w:sz w:val="24"/>
                <w:szCs w:val="24"/>
              </w:rPr>
              <w:t>局长</w:t>
            </w:r>
          </w:p>
        </w:tc>
        <w:tc>
          <w:tcPr>
            <w:tcW w:w="2070" w:type="dxa"/>
            <w:tcBorders>
              <w:top w:val="nil"/>
              <w:left w:val="nil"/>
              <w:bottom w:val="single" w:color="auto" w:sz="4" w:space="0"/>
              <w:right w:val="single" w:color="auto" w:sz="4" w:space="0"/>
            </w:tcBorders>
            <w:shd w:val="clear" w:color="auto" w:fill="auto"/>
            <w:vAlign w:val="center"/>
          </w:tcPr>
          <w:p w14:paraId="752295CE">
            <w:pPr>
              <w:jc w:val="center"/>
              <w:rPr>
                <w:rFonts w:ascii="仿宋" w:hAnsi="仿宋" w:eastAsia="仿宋" w:cs="宋体"/>
                <w:color w:val="000000"/>
                <w:sz w:val="24"/>
                <w:szCs w:val="24"/>
              </w:rPr>
            </w:pPr>
            <w:r>
              <w:rPr>
                <w:rFonts w:hint="eastAsia" w:ascii="仿宋" w:hAnsi="仿宋" w:eastAsia="仿宋" w:cs="宋体"/>
                <w:color w:val="000000"/>
                <w:sz w:val="24"/>
                <w:szCs w:val="24"/>
              </w:rPr>
              <w:t>13956473993</w:t>
            </w:r>
          </w:p>
        </w:tc>
      </w:tr>
      <w:tr w14:paraId="5F5AF15A">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286B6F84">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w:t>
            </w:r>
          </w:p>
        </w:tc>
        <w:tc>
          <w:tcPr>
            <w:tcW w:w="2739" w:type="dxa"/>
            <w:tcBorders>
              <w:top w:val="nil"/>
              <w:left w:val="nil"/>
              <w:bottom w:val="single" w:color="auto" w:sz="4" w:space="0"/>
              <w:right w:val="single" w:color="auto" w:sz="4" w:space="0"/>
            </w:tcBorders>
            <w:shd w:val="clear" w:color="auto" w:fill="auto"/>
            <w:vAlign w:val="center"/>
          </w:tcPr>
          <w:p w14:paraId="3CA1EAD4">
            <w:pPr>
              <w:jc w:val="center"/>
              <w:rPr>
                <w:rFonts w:ascii="仿宋" w:hAnsi="仿宋" w:eastAsia="仿宋" w:cs="宋体"/>
                <w:color w:val="000000"/>
                <w:sz w:val="24"/>
                <w:szCs w:val="24"/>
              </w:rPr>
            </w:pPr>
            <w:r>
              <w:rPr>
                <w:rFonts w:hint="eastAsia" w:ascii="仿宋" w:hAnsi="仿宋" w:eastAsia="仿宋" w:cs="宋体"/>
                <w:color w:val="000000"/>
                <w:sz w:val="24"/>
                <w:szCs w:val="24"/>
              </w:rPr>
              <w:t>区民政局</w:t>
            </w:r>
          </w:p>
        </w:tc>
        <w:tc>
          <w:tcPr>
            <w:tcW w:w="1350" w:type="dxa"/>
            <w:tcBorders>
              <w:top w:val="nil"/>
              <w:left w:val="nil"/>
              <w:bottom w:val="single" w:color="auto" w:sz="4" w:space="0"/>
              <w:right w:val="single" w:color="auto" w:sz="4" w:space="0"/>
            </w:tcBorders>
            <w:shd w:val="clear" w:color="auto" w:fill="auto"/>
            <w:vAlign w:val="center"/>
          </w:tcPr>
          <w:p w14:paraId="2ABA929F">
            <w:pPr>
              <w:jc w:val="center"/>
              <w:rPr>
                <w:rFonts w:ascii="仿宋" w:hAnsi="仿宋" w:eastAsia="仿宋" w:cs="宋体"/>
                <w:color w:val="000000"/>
                <w:sz w:val="24"/>
                <w:szCs w:val="24"/>
              </w:rPr>
            </w:pPr>
            <w:r>
              <w:rPr>
                <w:rFonts w:hint="eastAsia" w:ascii="仿宋" w:hAnsi="仿宋" w:eastAsia="仿宋" w:cs="宋体"/>
                <w:color w:val="000000"/>
                <w:sz w:val="24"/>
                <w:szCs w:val="24"/>
              </w:rPr>
              <w:t>王平进</w:t>
            </w:r>
          </w:p>
        </w:tc>
        <w:tc>
          <w:tcPr>
            <w:tcW w:w="2010" w:type="dxa"/>
            <w:tcBorders>
              <w:top w:val="nil"/>
              <w:left w:val="nil"/>
              <w:bottom w:val="single" w:color="auto" w:sz="4" w:space="0"/>
              <w:right w:val="single" w:color="auto" w:sz="4" w:space="0"/>
            </w:tcBorders>
            <w:shd w:val="clear" w:color="auto" w:fill="auto"/>
            <w:vAlign w:val="center"/>
          </w:tcPr>
          <w:p w14:paraId="52979BCD">
            <w:pPr>
              <w:jc w:val="center"/>
              <w:rPr>
                <w:rFonts w:ascii="仿宋" w:hAnsi="仿宋" w:eastAsia="仿宋" w:cs="宋体"/>
                <w:color w:val="000000"/>
                <w:sz w:val="24"/>
                <w:szCs w:val="24"/>
              </w:rPr>
            </w:pPr>
            <w:r>
              <w:rPr>
                <w:rFonts w:hint="eastAsia" w:ascii="仿宋" w:hAnsi="仿宋" w:eastAsia="仿宋" w:cs="宋体"/>
                <w:color w:val="000000"/>
                <w:sz w:val="24"/>
                <w:szCs w:val="24"/>
              </w:rPr>
              <w:t>局长</w:t>
            </w:r>
          </w:p>
        </w:tc>
        <w:tc>
          <w:tcPr>
            <w:tcW w:w="2070" w:type="dxa"/>
            <w:tcBorders>
              <w:top w:val="nil"/>
              <w:left w:val="nil"/>
              <w:bottom w:val="single" w:color="auto" w:sz="4" w:space="0"/>
              <w:right w:val="single" w:color="auto" w:sz="4" w:space="0"/>
            </w:tcBorders>
            <w:shd w:val="clear" w:color="auto" w:fill="auto"/>
            <w:vAlign w:val="center"/>
          </w:tcPr>
          <w:p w14:paraId="1D40F099">
            <w:pPr>
              <w:jc w:val="center"/>
              <w:rPr>
                <w:rFonts w:ascii="仿宋" w:hAnsi="仿宋" w:eastAsia="仿宋" w:cs="宋体"/>
                <w:color w:val="000000"/>
                <w:sz w:val="24"/>
                <w:szCs w:val="24"/>
              </w:rPr>
            </w:pPr>
            <w:r>
              <w:rPr>
                <w:rFonts w:hint="eastAsia" w:ascii="仿宋" w:hAnsi="仿宋" w:eastAsia="仿宋" w:cs="宋体"/>
                <w:color w:val="000000"/>
                <w:sz w:val="24"/>
                <w:szCs w:val="24"/>
              </w:rPr>
              <w:t>15956100051</w:t>
            </w:r>
          </w:p>
        </w:tc>
      </w:tr>
      <w:tr w14:paraId="0E482549">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3EE9E662">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w:t>
            </w:r>
          </w:p>
        </w:tc>
        <w:tc>
          <w:tcPr>
            <w:tcW w:w="2739" w:type="dxa"/>
            <w:tcBorders>
              <w:top w:val="nil"/>
              <w:left w:val="nil"/>
              <w:bottom w:val="single" w:color="auto" w:sz="4" w:space="0"/>
              <w:right w:val="single" w:color="auto" w:sz="4" w:space="0"/>
            </w:tcBorders>
            <w:shd w:val="clear" w:color="auto" w:fill="auto"/>
            <w:vAlign w:val="center"/>
          </w:tcPr>
          <w:p w14:paraId="2E380B87">
            <w:pPr>
              <w:jc w:val="center"/>
              <w:rPr>
                <w:rFonts w:ascii="仿宋" w:hAnsi="仿宋" w:eastAsia="仿宋" w:cs="宋体"/>
                <w:color w:val="000000"/>
                <w:sz w:val="24"/>
                <w:szCs w:val="24"/>
              </w:rPr>
            </w:pPr>
            <w:r>
              <w:rPr>
                <w:rFonts w:hint="eastAsia" w:ascii="仿宋" w:hAnsi="仿宋" w:eastAsia="仿宋" w:cs="宋体"/>
                <w:color w:val="000000"/>
                <w:sz w:val="24"/>
                <w:szCs w:val="24"/>
              </w:rPr>
              <w:t>区财政局</w:t>
            </w:r>
          </w:p>
        </w:tc>
        <w:tc>
          <w:tcPr>
            <w:tcW w:w="1350" w:type="dxa"/>
            <w:tcBorders>
              <w:top w:val="nil"/>
              <w:left w:val="nil"/>
              <w:bottom w:val="single" w:color="auto" w:sz="4" w:space="0"/>
              <w:right w:val="single" w:color="auto" w:sz="4" w:space="0"/>
            </w:tcBorders>
            <w:shd w:val="clear" w:color="auto" w:fill="auto"/>
            <w:vAlign w:val="center"/>
          </w:tcPr>
          <w:p w14:paraId="371F1049">
            <w:pPr>
              <w:jc w:val="center"/>
              <w:rPr>
                <w:rFonts w:ascii="仿宋" w:hAnsi="仿宋" w:eastAsia="仿宋" w:cs="宋体"/>
                <w:color w:val="000000"/>
                <w:sz w:val="24"/>
                <w:szCs w:val="24"/>
              </w:rPr>
            </w:pPr>
            <w:r>
              <w:rPr>
                <w:rFonts w:hint="eastAsia" w:ascii="仿宋" w:hAnsi="仿宋" w:eastAsia="仿宋" w:cs="宋体"/>
                <w:color w:val="000000"/>
                <w:sz w:val="24"/>
                <w:szCs w:val="24"/>
              </w:rPr>
              <w:t>赵静</w:t>
            </w:r>
          </w:p>
        </w:tc>
        <w:tc>
          <w:tcPr>
            <w:tcW w:w="2010" w:type="dxa"/>
            <w:tcBorders>
              <w:top w:val="nil"/>
              <w:left w:val="nil"/>
              <w:bottom w:val="single" w:color="auto" w:sz="4" w:space="0"/>
              <w:right w:val="single" w:color="auto" w:sz="4" w:space="0"/>
            </w:tcBorders>
            <w:shd w:val="clear" w:color="auto" w:fill="auto"/>
            <w:vAlign w:val="center"/>
          </w:tcPr>
          <w:p w14:paraId="3DC09CFB">
            <w:pPr>
              <w:jc w:val="center"/>
              <w:rPr>
                <w:rFonts w:ascii="仿宋" w:hAnsi="仿宋" w:eastAsia="仿宋" w:cs="宋体"/>
                <w:color w:val="000000"/>
                <w:sz w:val="24"/>
                <w:szCs w:val="24"/>
              </w:rPr>
            </w:pPr>
            <w:r>
              <w:rPr>
                <w:rFonts w:hint="eastAsia" w:ascii="仿宋" w:hAnsi="仿宋" w:eastAsia="仿宋" w:cs="宋体"/>
                <w:color w:val="000000"/>
                <w:sz w:val="24"/>
                <w:szCs w:val="24"/>
              </w:rPr>
              <w:t>副局长</w:t>
            </w:r>
          </w:p>
        </w:tc>
        <w:tc>
          <w:tcPr>
            <w:tcW w:w="2070" w:type="dxa"/>
            <w:tcBorders>
              <w:top w:val="nil"/>
              <w:left w:val="nil"/>
              <w:bottom w:val="single" w:color="auto" w:sz="4" w:space="0"/>
              <w:right w:val="single" w:color="auto" w:sz="4" w:space="0"/>
            </w:tcBorders>
            <w:shd w:val="clear" w:color="auto" w:fill="auto"/>
            <w:vAlign w:val="center"/>
          </w:tcPr>
          <w:p w14:paraId="21532892">
            <w:pPr>
              <w:jc w:val="center"/>
              <w:rPr>
                <w:rFonts w:ascii="仿宋" w:hAnsi="仿宋" w:eastAsia="仿宋" w:cs="宋体"/>
                <w:color w:val="000000"/>
                <w:sz w:val="24"/>
                <w:szCs w:val="24"/>
              </w:rPr>
            </w:pPr>
            <w:r>
              <w:rPr>
                <w:rFonts w:hint="eastAsia" w:ascii="仿宋" w:hAnsi="仿宋" w:eastAsia="仿宋" w:cs="宋体"/>
                <w:color w:val="000000"/>
                <w:sz w:val="24"/>
                <w:szCs w:val="24"/>
              </w:rPr>
              <w:t>15756106339</w:t>
            </w:r>
          </w:p>
        </w:tc>
      </w:tr>
      <w:tr w14:paraId="0851616E">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00CB167F">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w:t>
            </w:r>
          </w:p>
        </w:tc>
        <w:tc>
          <w:tcPr>
            <w:tcW w:w="2739" w:type="dxa"/>
            <w:tcBorders>
              <w:top w:val="nil"/>
              <w:left w:val="nil"/>
              <w:bottom w:val="single" w:color="auto" w:sz="4" w:space="0"/>
              <w:right w:val="single" w:color="auto" w:sz="4" w:space="0"/>
            </w:tcBorders>
            <w:shd w:val="clear" w:color="auto" w:fill="auto"/>
            <w:vAlign w:val="center"/>
          </w:tcPr>
          <w:p w14:paraId="0A2AC9BA">
            <w:pPr>
              <w:jc w:val="center"/>
              <w:rPr>
                <w:rFonts w:ascii="仿宋" w:hAnsi="仿宋" w:eastAsia="仿宋" w:cs="宋体"/>
                <w:color w:val="000000"/>
                <w:sz w:val="24"/>
                <w:szCs w:val="24"/>
              </w:rPr>
            </w:pPr>
            <w:r>
              <w:rPr>
                <w:rFonts w:hint="eastAsia" w:ascii="仿宋" w:hAnsi="仿宋" w:eastAsia="仿宋" w:cs="宋体"/>
                <w:color w:val="000000"/>
                <w:sz w:val="24"/>
                <w:szCs w:val="24"/>
              </w:rPr>
              <w:t>区住房和城乡建设局</w:t>
            </w:r>
          </w:p>
        </w:tc>
        <w:tc>
          <w:tcPr>
            <w:tcW w:w="1350" w:type="dxa"/>
            <w:tcBorders>
              <w:top w:val="nil"/>
              <w:left w:val="nil"/>
              <w:bottom w:val="single" w:color="auto" w:sz="4" w:space="0"/>
              <w:right w:val="single" w:color="auto" w:sz="4" w:space="0"/>
            </w:tcBorders>
            <w:shd w:val="clear" w:color="auto" w:fill="auto"/>
            <w:vAlign w:val="center"/>
          </w:tcPr>
          <w:p w14:paraId="268991E8">
            <w:pPr>
              <w:jc w:val="center"/>
              <w:rPr>
                <w:rFonts w:ascii="仿宋" w:hAnsi="仿宋" w:eastAsia="仿宋" w:cs="宋体"/>
                <w:color w:val="000000"/>
                <w:sz w:val="24"/>
                <w:szCs w:val="24"/>
              </w:rPr>
            </w:pPr>
            <w:r>
              <w:rPr>
                <w:rFonts w:hint="eastAsia" w:ascii="仿宋" w:hAnsi="仿宋" w:eastAsia="仿宋" w:cs="宋体"/>
                <w:color w:val="000000"/>
                <w:sz w:val="24"/>
                <w:szCs w:val="24"/>
              </w:rPr>
              <w:t>朱毅</w:t>
            </w:r>
          </w:p>
        </w:tc>
        <w:tc>
          <w:tcPr>
            <w:tcW w:w="2010" w:type="dxa"/>
            <w:tcBorders>
              <w:top w:val="nil"/>
              <w:left w:val="nil"/>
              <w:bottom w:val="single" w:color="auto" w:sz="4" w:space="0"/>
              <w:right w:val="single" w:color="auto" w:sz="4" w:space="0"/>
            </w:tcBorders>
            <w:shd w:val="clear" w:color="auto" w:fill="auto"/>
            <w:vAlign w:val="center"/>
          </w:tcPr>
          <w:p w14:paraId="06AF2C24">
            <w:pPr>
              <w:jc w:val="center"/>
              <w:rPr>
                <w:rFonts w:ascii="仿宋" w:hAnsi="仿宋" w:eastAsia="仿宋" w:cs="宋体"/>
                <w:color w:val="000000"/>
                <w:sz w:val="24"/>
                <w:szCs w:val="24"/>
              </w:rPr>
            </w:pPr>
            <w:r>
              <w:rPr>
                <w:rFonts w:hint="eastAsia" w:ascii="仿宋" w:hAnsi="仿宋" w:eastAsia="仿宋" w:cs="宋体"/>
                <w:color w:val="000000"/>
                <w:sz w:val="24"/>
                <w:szCs w:val="24"/>
              </w:rPr>
              <w:t>市政办主任</w:t>
            </w:r>
          </w:p>
        </w:tc>
        <w:tc>
          <w:tcPr>
            <w:tcW w:w="2070" w:type="dxa"/>
            <w:tcBorders>
              <w:top w:val="nil"/>
              <w:left w:val="nil"/>
              <w:bottom w:val="single" w:color="auto" w:sz="4" w:space="0"/>
              <w:right w:val="single" w:color="auto" w:sz="4" w:space="0"/>
            </w:tcBorders>
            <w:shd w:val="clear" w:color="auto" w:fill="auto"/>
            <w:vAlign w:val="center"/>
          </w:tcPr>
          <w:p w14:paraId="093D1B6A">
            <w:pPr>
              <w:jc w:val="center"/>
              <w:rPr>
                <w:rFonts w:ascii="仿宋" w:hAnsi="仿宋" w:eastAsia="仿宋" w:cs="宋体"/>
                <w:color w:val="000000"/>
                <w:sz w:val="24"/>
                <w:szCs w:val="24"/>
              </w:rPr>
            </w:pPr>
            <w:r>
              <w:rPr>
                <w:rFonts w:hint="eastAsia" w:ascii="仿宋" w:hAnsi="仿宋" w:eastAsia="仿宋" w:cs="宋体"/>
                <w:color w:val="000000"/>
                <w:sz w:val="24"/>
                <w:szCs w:val="24"/>
              </w:rPr>
              <w:t>13856175605</w:t>
            </w:r>
          </w:p>
        </w:tc>
      </w:tr>
      <w:tr w14:paraId="45883277">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35135F5D">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w:t>
            </w:r>
          </w:p>
        </w:tc>
        <w:tc>
          <w:tcPr>
            <w:tcW w:w="2739" w:type="dxa"/>
            <w:tcBorders>
              <w:top w:val="nil"/>
              <w:left w:val="nil"/>
              <w:bottom w:val="single" w:color="auto" w:sz="4" w:space="0"/>
              <w:right w:val="single" w:color="auto" w:sz="4" w:space="0"/>
            </w:tcBorders>
            <w:shd w:val="clear" w:color="auto" w:fill="auto"/>
            <w:vAlign w:val="center"/>
          </w:tcPr>
          <w:p w14:paraId="433E3CED">
            <w:pPr>
              <w:jc w:val="center"/>
              <w:rPr>
                <w:rFonts w:ascii="仿宋" w:hAnsi="仿宋" w:eastAsia="仿宋" w:cs="宋体"/>
                <w:color w:val="000000"/>
                <w:sz w:val="24"/>
                <w:szCs w:val="24"/>
              </w:rPr>
            </w:pPr>
            <w:r>
              <w:rPr>
                <w:rFonts w:hint="eastAsia" w:ascii="仿宋" w:hAnsi="仿宋" w:eastAsia="仿宋" w:cs="宋体"/>
                <w:color w:val="000000"/>
                <w:sz w:val="24"/>
                <w:szCs w:val="24"/>
              </w:rPr>
              <w:t>区商务局</w:t>
            </w:r>
          </w:p>
        </w:tc>
        <w:tc>
          <w:tcPr>
            <w:tcW w:w="1350" w:type="dxa"/>
            <w:tcBorders>
              <w:top w:val="nil"/>
              <w:left w:val="nil"/>
              <w:bottom w:val="single" w:color="auto" w:sz="4" w:space="0"/>
              <w:right w:val="single" w:color="auto" w:sz="4" w:space="0"/>
            </w:tcBorders>
            <w:shd w:val="clear" w:color="auto" w:fill="auto"/>
            <w:vAlign w:val="center"/>
          </w:tcPr>
          <w:p w14:paraId="45B432E4">
            <w:pPr>
              <w:jc w:val="center"/>
              <w:rPr>
                <w:rFonts w:ascii="仿宋" w:hAnsi="仿宋" w:eastAsia="仿宋" w:cs="宋体"/>
                <w:color w:val="000000"/>
                <w:sz w:val="24"/>
                <w:szCs w:val="24"/>
              </w:rPr>
            </w:pPr>
            <w:r>
              <w:rPr>
                <w:rFonts w:hint="eastAsia" w:ascii="仿宋" w:hAnsi="仿宋" w:eastAsia="仿宋" w:cs="宋体"/>
                <w:color w:val="000000"/>
                <w:sz w:val="24"/>
                <w:szCs w:val="24"/>
              </w:rPr>
              <w:t>赵福生</w:t>
            </w:r>
          </w:p>
        </w:tc>
        <w:tc>
          <w:tcPr>
            <w:tcW w:w="2010" w:type="dxa"/>
            <w:tcBorders>
              <w:top w:val="nil"/>
              <w:left w:val="nil"/>
              <w:bottom w:val="single" w:color="auto" w:sz="4" w:space="0"/>
              <w:right w:val="single" w:color="auto" w:sz="4" w:space="0"/>
            </w:tcBorders>
            <w:shd w:val="clear" w:color="auto" w:fill="auto"/>
            <w:vAlign w:val="center"/>
          </w:tcPr>
          <w:p w14:paraId="2D112E72">
            <w:pPr>
              <w:jc w:val="center"/>
              <w:rPr>
                <w:rFonts w:ascii="仿宋" w:hAnsi="仿宋" w:eastAsia="仿宋" w:cs="宋体"/>
                <w:color w:val="000000"/>
                <w:sz w:val="24"/>
                <w:szCs w:val="24"/>
              </w:rPr>
            </w:pPr>
            <w:r>
              <w:rPr>
                <w:rFonts w:hint="eastAsia" w:ascii="仿宋" w:hAnsi="仿宋" w:eastAsia="仿宋" w:cs="宋体"/>
                <w:color w:val="000000"/>
                <w:sz w:val="24"/>
                <w:szCs w:val="24"/>
              </w:rPr>
              <w:t>副局长</w:t>
            </w:r>
          </w:p>
        </w:tc>
        <w:tc>
          <w:tcPr>
            <w:tcW w:w="2070" w:type="dxa"/>
            <w:tcBorders>
              <w:top w:val="nil"/>
              <w:left w:val="nil"/>
              <w:bottom w:val="single" w:color="auto" w:sz="4" w:space="0"/>
              <w:right w:val="single" w:color="auto" w:sz="4" w:space="0"/>
            </w:tcBorders>
            <w:shd w:val="clear" w:color="auto" w:fill="auto"/>
            <w:vAlign w:val="center"/>
          </w:tcPr>
          <w:p w14:paraId="072F882F">
            <w:pPr>
              <w:jc w:val="center"/>
              <w:rPr>
                <w:rFonts w:ascii="仿宋" w:hAnsi="仿宋" w:eastAsia="仿宋" w:cs="宋体"/>
                <w:color w:val="000000"/>
                <w:sz w:val="24"/>
                <w:szCs w:val="24"/>
              </w:rPr>
            </w:pPr>
            <w:r>
              <w:rPr>
                <w:rFonts w:hint="eastAsia" w:ascii="仿宋" w:hAnsi="仿宋" w:eastAsia="仿宋" w:cs="宋体"/>
                <w:color w:val="000000"/>
                <w:sz w:val="24"/>
                <w:szCs w:val="24"/>
              </w:rPr>
              <w:t>13965879062</w:t>
            </w:r>
          </w:p>
        </w:tc>
      </w:tr>
      <w:tr w14:paraId="58DEFE55">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1504CC56">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10</w:t>
            </w:r>
          </w:p>
        </w:tc>
        <w:tc>
          <w:tcPr>
            <w:tcW w:w="2739" w:type="dxa"/>
            <w:tcBorders>
              <w:top w:val="nil"/>
              <w:left w:val="nil"/>
              <w:bottom w:val="single" w:color="auto" w:sz="4" w:space="0"/>
              <w:right w:val="single" w:color="auto" w:sz="4" w:space="0"/>
            </w:tcBorders>
            <w:shd w:val="clear" w:color="auto" w:fill="auto"/>
            <w:vAlign w:val="center"/>
          </w:tcPr>
          <w:p w14:paraId="741FAF32">
            <w:pPr>
              <w:jc w:val="center"/>
              <w:rPr>
                <w:rFonts w:ascii="仿宋" w:hAnsi="仿宋" w:eastAsia="仿宋" w:cs="宋体"/>
                <w:color w:val="000000"/>
                <w:sz w:val="24"/>
                <w:szCs w:val="24"/>
              </w:rPr>
            </w:pPr>
            <w:r>
              <w:rPr>
                <w:rFonts w:hint="eastAsia" w:ascii="仿宋" w:hAnsi="仿宋" w:eastAsia="仿宋" w:cs="宋体"/>
                <w:color w:val="000000"/>
                <w:sz w:val="24"/>
                <w:szCs w:val="24"/>
              </w:rPr>
              <w:t>区文化旅游体育局</w:t>
            </w:r>
          </w:p>
        </w:tc>
        <w:tc>
          <w:tcPr>
            <w:tcW w:w="1350" w:type="dxa"/>
            <w:tcBorders>
              <w:top w:val="nil"/>
              <w:left w:val="nil"/>
              <w:bottom w:val="single" w:color="auto" w:sz="4" w:space="0"/>
              <w:right w:val="single" w:color="auto" w:sz="4" w:space="0"/>
            </w:tcBorders>
            <w:shd w:val="clear" w:color="auto" w:fill="auto"/>
            <w:vAlign w:val="center"/>
          </w:tcPr>
          <w:p w14:paraId="7E90F497">
            <w:pPr>
              <w:jc w:val="center"/>
              <w:rPr>
                <w:rFonts w:ascii="仿宋" w:hAnsi="仿宋" w:eastAsia="仿宋" w:cs="宋体"/>
                <w:color w:val="000000"/>
                <w:sz w:val="24"/>
                <w:szCs w:val="24"/>
              </w:rPr>
            </w:pPr>
            <w:r>
              <w:rPr>
                <w:rFonts w:hint="eastAsia" w:ascii="仿宋" w:hAnsi="仿宋" w:eastAsia="仿宋" w:cs="宋体"/>
                <w:color w:val="000000"/>
                <w:sz w:val="24"/>
                <w:szCs w:val="24"/>
              </w:rPr>
              <w:t>朱赟琛</w:t>
            </w:r>
          </w:p>
        </w:tc>
        <w:tc>
          <w:tcPr>
            <w:tcW w:w="2010" w:type="dxa"/>
            <w:tcBorders>
              <w:top w:val="nil"/>
              <w:left w:val="nil"/>
              <w:bottom w:val="single" w:color="auto" w:sz="4" w:space="0"/>
              <w:right w:val="single" w:color="auto" w:sz="4" w:space="0"/>
            </w:tcBorders>
            <w:shd w:val="clear" w:color="auto" w:fill="auto"/>
            <w:vAlign w:val="center"/>
          </w:tcPr>
          <w:p w14:paraId="1A04468F">
            <w:pPr>
              <w:jc w:val="center"/>
              <w:rPr>
                <w:rFonts w:ascii="仿宋" w:hAnsi="仿宋" w:eastAsia="仿宋" w:cs="宋体"/>
                <w:color w:val="000000"/>
                <w:sz w:val="24"/>
                <w:szCs w:val="24"/>
              </w:rPr>
            </w:pPr>
            <w:r>
              <w:rPr>
                <w:rFonts w:hint="eastAsia" w:ascii="仿宋" w:hAnsi="仿宋" w:eastAsia="仿宋" w:cs="宋体"/>
                <w:color w:val="000000"/>
                <w:sz w:val="24"/>
                <w:szCs w:val="24"/>
              </w:rPr>
              <w:t>局长</w:t>
            </w:r>
          </w:p>
        </w:tc>
        <w:tc>
          <w:tcPr>
            <w:tcW w:w="2070" w:type="dxa"/>
            <w:tcBorders>
              <w:top w:val="nil"/>
              <w:left w:val="nil"/>
              <w:bottom w:val="single" w:color="auto" w:sz="4" w:space="0"/>
              <w:right w:val="single" w:color="auto" w:sz="4" w:space="0"/>
            </w:tcBorders>
            <w:shd w:val="clear" w:color="auto" w:fill="auto"/>
            <w:vAlign w:val="center"/>
          </w:tcPr>
          <w:p w14:paraId="31139F9C">
            <w:pPr>
              <w:jc w:val="center"/>
              <w:rPr>
                <w:rFonts w:ascii="仿宋" w:hAnsi="仿宋" w:eastAsia="仿宋" w:cs="宋体"/>
                <w:color w:val="000000"/>
                <w:sz w:val="24"/>
                <w:szCs w:val="24"/>
              </w:rPr>
            </w:pPr>
            <w:r>
              <w:rPr>
                <w:rFonts w:hint="eastAsia" w:ascii="仿宋" w:hAnsi="仿宋" w:eastAsia="仿宋" w:cs="宋体"/>
                <w:color w:val="000000"/>
                <w:sz w:val="24"/>
                <w:szCs w:val="24"/>
              </w:rPr>
              <w:t>13966117655</w:t>
            </w:r>
          </w:p>
        </w:tc>
      </w:tr>
      <w:tr w14:paraId="6A877BBC">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7DCFFAD6">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11</w:t>
            </w:r>
          </w:p>
        </w:tc>
        <w:tc>
          <w:tcPr>
            <w:tcW w:w="2739" w:type="dxa"/>
            <w:tcBorders>
              <w:top w:val="nil"/>
              <w:left w:val="nil"/>
              <w:bottom w:val="single" w:color="auto" w:sz="4" w:space="0"/>
              <w:right w:val="single" w:color="auto" w:sz="4" w:space="0"/>
            </w:tcBorders>
            <w:shd w:val="clear" w:color="auto" w:fill="auto"/>
            <w:vAlign w:val="center"/>
          </w:tcPr>
          <w:p w14:paraId="2ED6DC87">
            <w:pPr>
              <w:jc w:val="center"/>
              <w:rPr>
                <w:rFonts w:ascii="仿宋" w:hAnsi="仿宋" w:eastAsia="仿宋" w:cs="宋体"/>
                <w:color w:val="000000"/>
                <w:sz w:val="24"/>
                <w:szCs w:val="24"/>
              </w:rPr>
            </w:pPr>
            <w:r>
              <w:rPr>
                <w:rFonts w:hint="eastAsia" w:ascii="仿宋" w:hAnsi="仿宋" w:eastAsia="仿宋" w:cs="宋体"/>
                <w:color w:val="000000"/>
                <w:sz w:val="24"/>
                <w:szCs w:val="24"/>
              </w:rPr>
              <w:t>区卫生健康委员会</w:t>
            </w:r>
          </w:p>
        </w:tc>
        <w:tc>
          <w:tcPr>
            <w:tcW w:w="1350" w:type="dxa"/>
            <w:tcBorders>
              <w:top w:val="nil"/>
              <w:left w:val="nil"/>
              <w:bottom w:val="single" w:color="auto" w:sz="4" w:space="0"/>
              <w:right w:val="single" w:color="auto" w:sz="4" w:space="0"/>
            </w:tcBorders>
            <w:shd w:val="clear" w:color="auto" w:fill="auto"/>
            <w:vAlign w:val="center"/>
          </w:tcPr>
          <w:p w14:paraId="03D6F965">
            <w:pPr>
              <w:jc w:val="center"/>
              <w:rPr>
                <w:rFonts w:ascii="仿宋" w:hAnsi="仿宋" w:eastAsia="仿宋" w:cs="宋体"/>
                <w:color w:val="000000"/>
                <w:sz w:val="24"/>
                <w:szCs w:val="24"/>
              </w:rPr>
            </w:pPr>
            <w:r>
              <w:rPr>
                <w:rFonts w:hint="eastAsia" w:ascii="仿宋" w:hAnsi="仿宋" w:eastAsia="仿宋" w:cs="宋体"/>
                <w:color w:val="000000"/>
                <w:sz w:val="24"/>
                <w:szCs w:val="24"/>
              </w:rPr>
              <w:t>张彬</w:t>
            </w:r>
          </w:p>
        </w:tc>
        <w:tc>
          <w:tcPr>
            <w:tcW w:w="2010" w:type="dxa"/>
            <w:tcBorders>
              <w:top w:val="nil"/>
              <w:left w:val="nil"/>
              <w:bottom w:val="single" w:color="auto" w:sz="4" w:space="0"/>
              <w:right w:val="single" w:color="auto" w:sz="4" w:space="0"/>
            </w:tcBorders>
            <w:shd w:val="clear" w:color="auto" w:fill="auto"/>
            <w:vAlign w:val="center"/>
          </w:tcPr>
          <w:p w14:paraId="692A3CB4">
            <w:pPr>
              <w:jc w:val="center"/>
              <w:rPr>
                <w:rFonts w:ascii="仿宋" w:hAnsi="仿宋" w:eastAsia="仿宋" w:cs="宋体"/>
                <w:color w:val="000000"/>
                <w:sz w:val="24"/>
                <w:szCs w:val="24"/>
              </w:rPr>
            </w:pPr>
            <w:r>
              <w:rPr>
                <w:rFonts w:hint="eastAsia" w:ascii="仿宋" w:hAnsi="仿宋" w:eastAsia="仿宋" w:cs="宋体"/>
                <w:color w:val="000000"/>
                <w:sz w:val="24"/>
                <w:szCs w:val="24"/>
              </w:rPr>
              <w:t>党委书记、主任</w:t>
            </w:r>
          </w:p>
        </w:tc>
        <w:tc>
          <w:tcPr>
            <w:tcW w:w="2070" w:type="dxa"/>
            <w:tcBorders>
              <w:top w:val="nil"/>
              <w:left w:val="nil"/>
              <w:bottom w:val="single" w:color="auto" w:sz="4" w:space="0"/>
              <w:right w:val="single" w:color="auto" w:sz="4" w:space="0"/>
            </w:tcBorders>
            <w:shd w:val="clear" w:color="auto" w:fill="auto"/>
            <w:vAlign w:val="center"/>
          </w:tcPr>
          <w:p w14:paraId="1467BB41">
            <w:pPr>
              <w:jc w:val="center"/>
              <w:rPr>
                <w:rFonts w:ascii="仿宋" w:hAnsi="仿宋" w:eastAsia="仿宋" w:cs="宋体"/>
                <w:color w:val="000000"/>
                <w:sz w:val="24"/>
                <w:szCs w:val="24"/>
              </w:rPr>
            </w:pPr>
            <w:r>
              <w:rPr>
                <w:rFonts w:hint="eastAsia" w:ascii="仿宋" w:hAnsi="仿宋" w:eastAsia="仿宋" w:cs="宋体"/>
                <w:color w:val="000000"/>
                <w:sz w:val="24"/>
                <w:szCs w:val="24"/>
              </w:rPr>
              <w:t>13856101700</w:t>
            </w:r>
          </w:p>
        </w:tc>
      </w:tr>
      <w:tr w14:paraId="39FA137D">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6AA2D44E">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12</w:t>
            </w:r>
          </w:p>
        </w:tc>
        <w:tc>
          <w:tcPr>
            <w:tcW w:w="2739" w:type="dxa"/>
            <w:tcBorders>
              <w:top w:val="nil"/>
              <w:left w:val="nil"/>
              <w:bottom w:val="single" w:color="auto" w:sz="4" w:space="0"/>
              <w:right w:val="single" w:color="auto" w:sz="4" w:space="0"/>
            </w:tcBorders>
            <w:shd w:val="clear" w:color="auto" w:fill="auto"/>
            <w:vAlign w:val="center"/>
          </w:tcPr>
          <w:p w14:paraId="03B79B97">
            <w:pPr>
              <w:jc w:val="center"/>
              <w:rPr>
                <w:rFonts w:ascii="仿宋" w:hAnsi="仿宋" w:eastAsia="仿宋" w:cs="宋体"/>
                <w:color w:val="000000"/>
                <w:sz w:val="24"/>
                <w:szCs w:val="24"/>
              </w:rPr>
            </w:pPr>
            <w:r>
              <w:rPr>
                <w:rFonts w:hint="eastAsia" w:ascii="仿宋" w:hAnsi="仿宋" w:eastAsia="仿宋" w:cs="宋体"/>
                <w:color w:val="000000"/>
                <w:sz w:val="24"/>
                <w:szCs w:val="24"/>
              </w:rPr>
              <w:t>区市场监督管理局</w:t>
            </w:r>
          </w:p>
        </w:tc>
        <w:tc>
          <w:tcPr>
            <w:tcW w:w="1350" w:type="dxa"/>
            <w:tcBorders>
              <w:top w:val="nil"/>
              <w:left w:val="nil"/>
              <w:bottom w:val="single" w:color="auto" w:sz="4" w:space="0"/>
              <w:right w:val="single" w:color="auto" w:sz="4" w:space="0"/>
            </w:tcBorders>
            <w:shd w:val="clear" w:color="auto" w:fill="auto"/>
            <w:vAlign w:val="center"/>
          </w:tcPr>
          <w:p w14:paraId="35D8AEDF">
            <w:pPr>
              <w:jc w:val="center"/>
              <w:rPr>
                <w:rFonts w:ascii="仿宋" w:hAnsi="仿宋" w:eastAsia="仿宋" w:cs="宋体"/>
                <w:color w:val="000000"/>
                <w:sz w:val="24"/>
                <w:szCs w:val="24"/>
              </w:rPr>
            </w:pPr>
            <w:r>
              <w:rPr>
                <w:rFonts w:hint="eastAsia" w:ascii="仿宋" w:hAnsi="仿宋" w:eastAsia="仿宋" w:cs="宋体"/>
                <w:color w:val="000000"/>
                <w:sz w:val="24"/>
                <w:szCs w:val="24"/>
              </w:rPr>
              <w:t>孙超</w:t>
            </w:r>
          </w:p>
        </w:tc>
        <w:tc>
          <w:tcPr>
            <w:tcW w:w="2010" w:type="dxa"/>
            <w:tcBorders>
              <w:top w:val="nil"/>
              <w:left w:val="nil"/>
              <w:bottom w:val="single" w:color="auto" w:sz="4" w:space="0"/>
              <w:right w:val="single" w:color="auto" w:sz="4" w:space="0"/>
            </w:tcBorders>
            <w:shd w:val="clear" w:color="auto" w:fill="auto"/>
            <w:vAlign w:val="center"/>
          </w:tcPr>
          <w:p w14:paraId="54B971A2">
            <w:pPr>
              <w:jc w:val="center"/>
              <w:rPr>
                <w:rFonts w:ascii="仿宋" w:hAnsi="仿宋" w:eastAsia="仿宋" w:cs="宋体"/>
                <w:color w:val="000000"/>
                <w:sz w:val="24"/>
                <w:szCs w:val="24"/>
              </w:rPr>
            </w:pPr>
            <w:r>
              <w:rPr>
                <w:rFonts w:hint="eastAsia" w:ascii="仿宋" w:hAnsi="仿宋" w:eastAsia="仿宋" w:cs="宋体"/>
                <w:color w:val="000000"/>
                <w:sz w:val="24"/>
                <w:szCs w:val="24"/>
              </w:rPr>
              <w:t>局长</w:t>
            </w:r>
          </w:p>
        </w:tc>
        <w:tc>
          <w:tcPr>
            <w:tcW w:w="2070" w:type="dxa"/>
            <w:tcBorders>
              <w:top w:val="nil"/>
              <w:left w:val="nil"/>
              <w:bottom w:val="single" w:color="auto" w:sz="4" w:space="0"/>
              <w:right w:val="single" w:color="auto" w:sz="4" w:space="0"/>
            </w:tcBorders>
            <w:shd w:val="clear" w:color="auto" w:fill="auto"/>
            <w:vAlign w:val="center"/>
          </w:tcPr>
          <w:p w14:paraId="69493EC6">
            <w:pPr>
              <w:jc w:val="center"/>
              <w:rPr>
                <w:rFonts w:ascii="仿宋" w:hAnsi="仿宋" w:eastAsia="仿宋" w:cs="宋体"/>
                <w:color w:val="000000"/>
                <w:sz w:val="24"/>
                <w:szCs w:val="24"/>
              </w:rPr>
            </w:pPr>
            <w:r>
              <w:rPr>
                <w:rFonts w:hint="eastAsia" w:ascii="仿宋" w:hAnsi="仿宋" w:eastAsia="仿宋" w:cs="宋体"/>
                <w:color w:val="000000"/>
                <w:sz w:val="24"/>
                <w:szCs w:val="24"/>
              </w:rPr>
              <w:t>17756190002</w:t>
            </w:r>
          </w:p>
        </w:tc>
      </w:tr>
      <w:tr w14:paraId="0BC6F849">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49CA68EB">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13</w:t>
            </w:r>
          </w:p>
        </w:tc>
        <w:tc>
          <w:tcPr>
            <w:tcW w:w="2739" w:type="dxa"/>
            <w:tcBorders>
              <w:top w:val="nil"/>
              <w:left w:val="nil"/>
              <w:bottom w:val="single" w:color="auto" w:sz="4" w:space="0"/>
              <w:right w:val="single" w:color="auto" w:sz="4" w:space="0"/>
            </w:tcBorders>
            <w:shd w:val="clear" w:color="auto" w:fill="auto"/>
            <w:vAlign w:val="center"/>
          </w:tcPr>
          <w:p w14:paraId="7527D649">
            <w:pPr>
              <w:jc w:val="center"/>
              <w:rPr>
                <w:rFonts w:ascii="仿宋" w:hAnsi="仿宋" w:eastAsia="仿宋" w:cs="宋体"/>
                <w:color w:val="000000"/>
                <w:sz w:val="24"/>
                <w:szCs w:val="24"/>
              </w:rPr>
            </w:pPr>
            <w:r>
              <w:rPr>
                <w:rFonts w:hint="eastAsia" w:ascii="仿宋" w:hAnsi="仿宋" w:eastAsia="仿宋" w:cs="宋体"/>
                <w:color w:val="000000"/>
                <w:sz w:val="24"/>
                <w:szCs w:val="24"/>
              </w:rPr>
              <w:t>区应急管理局</w:t>
            </w:r>
          </w:p>
        </w:tc>
        <w:tc>
          <w:tcPr>
            <w:tcW w:w="1350" w:type="dxa"/>
            <w:tcBorders>
              <w:top w:val="nil"/>
              <w:left w:val="nil"/>
              <w:bottom w:val="single" w:color="auto" w:sz="4" w:space="0"/>
              <w:right w:val="single" w:color="auto" w:sz="4" w:space="0"/>
            </w:tcBorders>
            <w:shd w:val="clear" w:color="auto" w:fill="auto"/>
            <w:vAlign w:val="center"/>
          </w:tcPr>
          <w:p w14:paraId="1454A356">
            <w:pPr>
              <w:jc w:val="center"/>
              <w:rPr>
                <w:rFonts w:ascii="仿宋" w:hAnsi="仿宋" w:eastAsia="仿宋" w:cs="宋体"/>
                <w:color w:val="000000"/>
                <w:sz w:val="24"/>
                <w:szCs w:val="24"/>
              </w:rPr>
            </w:pPr>
            <w:r>
              <w:rPr>
                <w:rFonts w:hint="eastAsia" w:ascii="仿宋" w:hAnsi="仿宋" w:eastAsia="仿宋" w:cs="宋体"/>
                <w:color w:val="000000"/>
                <w:sz w:val="24"/>
                <w:szCs w:val="24"/>
              </w:rPr>
              <w:t>陈海峰</w:t>
            </w:r>
          </w:p>
        </w:tc>
        <w:tc>
          <w:tcPr>
            <w:tcW w:w="2010" w:type="dxa"/>
            <w:tcBorders>
              <w:top w:val="nil"/>
              <w:left w:val="nil"/>
              <w:bottom w:val="single" w:color="auto" w:sz="4" w:space="0"/>
              <w:right w:val="single" w:color="auto" w:sz="4" w:space="0"/>
            </w:tcBorders>
            <w:shd w:val="clear" w:color="auto" w:fill="auto"/>
            <w:vAlign w:val="center"/>
          </w:tcPr>
          <w:p w14:paraId="0E0AD49D">
            <w:pPr>
              <w:jc w:val="center"/>
              <w:rPr>
                <w:rFonts w:ascii="仿宋" w:hAnsi="仿宋" w:eastAsia="仿宋" w:cs="宋体"/>
                <w:color w:val="000000"/>
                <w:sz w:val="24"/>
                <w:szCs w:val="24"/>
              </w:rPr>
            </w:pPr>
            <w:r>
              <w:rPr>
                <w:rFonts w:hint="eastAsia" w:ascii="仿宋" w:hAnsi="仿宋" w:eastAsia="仿宋" w:cs="宋体"/>
                <w:color w:val="000000"/>
                <w:sz w:val="24"/>
                <w:szCs w:val="24"/>
              </w:rPr>
              <w:t>局长</w:t>
            </w:r>
          </w:p>
        </w:tc>
        <w:tc>
          <w:tcPr>
            <w:tcW w:w="2070" w:type="dxa"/>
            <w:tcBorders>
              <w:top w:val="nil"/>
              <w:left w:val="nil"/>
              <w:bottom w:val="single" w:color="auto" w:sz="4" w:space="0"/>
              <w:right w:val="single" w:color="auto" w:sz="4" w:space="0"/>
            </w:tcBorders>
            <w:shd w:val="clear" w:color="auto" w:fill="auto"/>
            <w:vAlign w:val="center"/>
          </w:tcPr>
          <w:p w14:paraId="508B519E">
            <w:pPr>
              <w:jc w:val="center"/>
              <w:rPr>
                <w:rFonts w:ascii="仿宋" w:hAnsi="仿宋" w:eastAsia="仿宋" w:cs="宋体"/>
                <w:color w:val="000000"/>
                <w:sz w:val="24"/>
                <w:szCs w:val="24"/>
              </w:rPr>
            </w:pPr>
            <w:r>
              <w:rPr>
                <w:rFonts w:hint="eastAsia" w:ascii="仿宋" w:hAnsi="仿宋" w:eastAsia="仿宋" w:cs="宋体"/>
                <w:color w:val="000000"/>
                <w:sz w:val="24"/>
                <w:szCs w:val="24"/>
              </w:rPr>
              <w:t>15256120020</w:t>
            </w:r>
          </w:p>
        </w:tc>
      </w:tr>
      <w:tr w14:paraId="72104ABE">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6B2FD2D9">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14</w:t>
            </w:r>
          </w:p>
        </w:tc>
        <w:tc>
          <w:tcPr>
            <w:tcW w:w="2739" w:type="dxa"/>
            <w:tcBorders>
              <w:top w:val="nil"/>
              <w:left w:val="nil"/>
              <w:bottom w:val="single" w:color="auto" w:sz="4" w:space="0"/>
              <w:right w:val="single" w:color="auto" w:sz="4" w:space="0"/>
            </w:tcBorders>
            <w:shd w:val="clear" w:color="auto" w:fill="auto"/>
            <w:vAlign w:val="center"/>
          </w:tcPr>
          <w:p w14:paraId="24B8AFDE">
            <w:pPr>
              <w:jc w:val="center"/>
              <w:rPr>
                <w:rFonts w:ascii="仿宋" w:hAnsi="仿宋" w:eastAsia="仿宋" w:cs="宋体"/>
                <w:color w:val="000000"/>
                <w:sz w:val="24"/>
                <w:szCs w:val="24"/>
              </w:rPr>
            </w:pPr>
            <w:r>
              <w:rPr>
                <w:rFonts w:hint="eastAsia" w:ascii="仿宋" w:hAnsi="仿宋" w:eastAsia="仿宋" w:cs="宋体"/>
                <w:color w:val="000000"/>
                <w:sz w:val="24"/>
                <w:szCs w:val="24"/>
              </w:rPr>
              <w:t>区城市管理局</w:t>
            </w:r>
          </w:p>
        </w:tc>
        <w:tc>
          <w:tcPr>
            <w:tcW w:w="1350" w:type="dxa"/>
            <w:tcBorders>
              <w:top w:val="nil"/>
              <w:left w:val="nil"/>
              <w:bottom w:val="single" w:color="auto" w:sz="4" w:space="0"/>
              <w:right w:val="single" w:color="auto" w:sz="4" w:space="0"/>
            </w:tcBorders>
            <w:shd w:val="clear" w:color="auto" w:fill="auto"/>
            <w:vAlign w:val="bottom"/>
          </w:tcPr>
          <w:p w14:paraId="5C3F93D1">
            <w:pPr>
              <w:rPr>
                <w:rFonts w:ascii="宋体" w:hAnsi="宋体" w:eastAsia="宋体" w:cs="宋体"/>
                <w:color w:val="000000"/>
                <w:sz w:val="22"/>
              </w:rPr>
            </w:pPr>
            <w:r>
              <w:rPr>
                <w:rFonts w:hint="eastAsia" w:ascii="宋体" w:hAnsi="宋体" w:eastAsia="宋体" w:cs="宋体"/>
                <w:color w:val="000000"/>
                <w:sz w:val="22"/>
              </w:rPr>
              <w:t>　</w:t>
            </w:r>
          </w:p>
        </w:tc>
        <w:tc>
          <w:tcPr>
            <w:tcW w:w="2010" w:type="dxa"/>
            <w:tcBorders>
              <w:top w:val="nil"/>
              <w:left w:val="nil"/>
              <w:bottom w:val="single" w:color="auto" w:sz="4" w:space="0"/>
              <w:right w:val="single" w:color="auto" w:sz="4" w:space="0"/>
            </w:tcBorders>
            <w:shd w:val="clear" w:color="auto" w:fill="auto"/>
            <w:vAlign w:val="bottom"/>
          </w:tcPr>
          <w:p w14:paraId="0E168D4C">
            <w:pPr>
              <w:rPr>
                <w:rFonts w:ascii="宋体" w:hAnsi="宋体" w:eastAsia="宋体" w:cs="宋体"/>
                <w:color w:val="000000"/>
                <w:sz w:val="22"/>
              </w:rPr>
            </w:pPr>
            <w:r>
              <w:rPr>
                <w:rFonts w:hint="eastAsia" w:ascii="宋体" w:hAnsi="宋体" w:eastAsia="宋体" w:cs="宋体"/>
                <w:color w:val="000000"/>
                <w:sz w:val="22"/>
              </w:rPr>
              <w:t>　</w:t>
            </w:r>
          </w:p>
        </w:tc>
        <w:tc>
          <w:tcPr>
            <w:tcW w:w="2070" w:type="dxa"/>
            <w:tcBorders>
              <w:top w:val="nil"/>
              <w:left w:val="nil"/>
              <w:bottom w:val="single" w:color="auto" w:sz="4" w:space="0"/>
              <w:right w:val="single" w:color="auto" w:sz="4" w:space="0"/>
            </w:tcBorders>
            <w:shd w:val="clear" w:color="auto" w:fill="auto"/>
            <w:vAlign w:val="bottom"/>
          </w:tcPr>
          <w:p w14:paraId="12376452">
            <w:pPr>
              <w:rPr>
                <w:rFonts w:ascii="宋体" w:hAnsi="宋体" w:eastAsia="宋体" w:cs="宋体"/>
                <w:color w:val="000000"/>
                <w:sz w:val="22"/>
              </w:rPr>
            </w:pPr>
            <w:r>
              <w:rPr>
                <w:rFonts w:hint="eastAsia" w:ascii="宋体" w:hAnsi="宋体" w:eastAsia="宋体" w:cs="宋体"/>
                <w:color w:val="000000"/>
                <w:sz w:val="22"/>
              </w:rPr>
              <w:t>　</w:t>
            </w:r>
          </w:p>
        </w:tc>
      </w:tr>
      <w:tr w14:paraId="1DEC7BEA">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76105AA0">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15</w:t>
            </w:r>
          </w:p>
        </w:tc>
        <w:tc>
          <w:tcPr>
            <w:tcW w:w="2739" w:type="dxa"/>
            <w:tcBorders>
              <w:top w:val="nil"/>
              <w:left w:val="nil"/>
              <w:bottom w:val="single" w:color="auto" w:sz="4" w:space="0"/>
              <w:right w:val="single" w:color="auto" w:sz="4" w:space="0"/>
            </w:tcBorders>
            <w:shd w:val="clear" w:color="auto" w:fill="auto"/>
            <w:vAlign w:val="center"/>
          </w:tcPr>
          <w:p w14:paraId="6C7192D9">
            <w:pPr>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淮北市公安局烈山分局</w:t>
            </w:r>
          </w:p>
        </w:tc>
        <w:tc>
          <w:tcPr>
            <w:tcW w:w="1350" w:type="dxa"/>
            <w:tcBorders>
              <w:top w:val="nil"/>
              <w:left w:val="nil"/>
              <w:bottom w:val="single" w:color="auto" w:sz="4" w:space="0"/>
              <w:right w:val="single" w:color="auto" w:sz="4" w:space="0"/>
            </w:tcBorders>
            <w:shd w:val="clear" w:color="auto" w:fill="auto"/>
            <w:vAlign w:val="center"/>
          </w:tcPr>
          <w:p w14:paraId="5C1B903B">
            <w:pPr>
              <w:jc w:val="center"/>
              <w:rPr>
                <w:rFonts w:ascii="仿宋" w:hAnsi="仿宋" w:eastAsia="仿宋" w:cs="宋体"/>
                <w:color w:val="000000"/>
                <w:sz w:val="24"/>
                <w:szCs w:val="24"/>
              </w:rPr>
            </w:pPr>
            <w:r>
              <w:rPr>
                <w:rFonts w:hint="eastAsia" w:ascii="仿宋" w:hAnsi="仿宋" w:eastAsia="仿宋" w:cs="宋体"/>
                <w:color w:val="000000"/>
                <w:sz w:val="24"/>
                <w:szCs w:val="24"/>
              </w:rPr>
              <w:t>岳涛</w:t>
            </w:r>
          </w:p>
        </w:tc>
        <w:tc>
          <w:tcPr>
            <w:tcW w:w="2010" w:type="dxa"/>
            <w:tcBorders>
              <w:top w:val="nil"/>
              <w:left w:val="nil"/>
              <w:bottom w:val="single" w:color="auto" w:sz="4" w:space="0"/>
              <w:right w:val="single" w:color="auto" w:sz="4" w:space="0"/>
            </w:tcBorders>
            <w:shd w:val="clear" w:color="auto" w:fill="auto"/>
            <w:vAlign w:val="center"/>
          </w:tcPr>
          <w:p w14:paraId="28791BF3">
            <w:pPr>
              <w:jc w:val="center"/>
              <w:rPr>
                <w:rFonts w:ascii="仿宋" w:hAnsi="仿宋" w:eastAsia="仿宋" w:cs="宋体"/>
                <w:color w:val="000000"/>
                <w:sz w:val="24"/>
                <w:szCs w:val="24"/>
              </w:rPr>
            </w:pPr>
            <w:r>
              <w:rPr>
                <w:rFonts w:hint="eastAsia" w:ascii="仿宋" w:hAnsi="仿宋" w:eastAsia="仿宋" w:cs="宋体"/>
                <w:color w:val="000000"/>
                <w:sz w:val="24"/>
                <w:szCs w:val="24"/>
              </w:rPr>
              <w:t>副局长</w:t>
            </w:r>
          </w:p>
        </w:tc>
        <w:tc>
          <w:tcPr>
            <w:tcW w:w="2070" w:type="dxa"/>
            <w:tcBorders>
              <w:top w:val="nil"/>
              <w:left w:val="nil"/>
              <w:bottom w:val="single" w:color="auto" w:sz="4" w:space="0"/>
              <w:right w:val="single" w:color="auto" w:sz="4" w:space="0"/>
            </w:tcBorders>
            <w:shd w:val="clear" w:color="auto" w:fill="auto"/>
            <w:vAlign w:val="center"/>
          </w:tcPr>
          <w:p w14:paraId="4931FE10">
            <w:pPr>
              <w:jc w:val="center"/>
              <w:rPr>
                <w:rFonts w:ascii="仿宋" w:hAnsi="仿宋" w:eastAsia="仿宋" w:cs="宋体"/>
                <w:color w:val="000000"/>
                <w:sz w:val="24"/>
                <w:szCs w:val="24"/>
              </w:rPr>
            </w:pPr>
            <w:r>
              <w:rPr>
                <w:rFonts w:hint="eastAsia" w:ascii="仿宋" w:hAnsi="仿宋" w:eastAsia="仿宋" w:cs="宋体"/>
                <w:color w:val="000000"/>
                <w:sz w:val="24"/>
                <w:szCs w:val="24"/>
              </w:rPr>
              <w:t>13696608885</w:t>
            </w:r>
          </w:p>
        </w:tc>
      </w:tr>
      <w:tr w14:paraId="244A0542">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145A7A28">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16</w:t>
            </w:r>
          </w:p>
        </w:tc>
        <w:tc>
          <w:tcPr>
            <w:tcW w:w="2739" w:type="dxa"/>
            <w:tcBorders>
              <w:top w:val="nil"/>
              <w:left w:val="nil"/>
              <w:bottom w:val="single" w:color="auto" w:sz="4" w:space="0"/>
              <w:right w:val="single" w:color="auto" w:sz="4" w:space="0"/>
            </w:tcBorders>
            <w:shd w:val="clear" w:color="auto" w:fill="auto"/>
            <w:vAlign w:val="center"/>
          </w:tcPr>
          <w:p w14:paraId="6E0D0235">
            <w:pPr>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烈山交通管理大队</w:t>
            </w:r>
          </w:p>
        </w:tc>
        <w:tc>
          <w:tcPr>
            <w:tcW w:w="1350" w:type="dxa"/>
            <w:tcBorders>
              <w:top w:val="nil"/>
              <w:left w:val="nil"/>
              <w:bottom w:val="single" w:color="auto" w:sz="4" w:space="0"/>
              <w:right w:val="single" w:color="auto" w:sz="4" w:space="0"/>
            </w:tcBorders>
            <w:shd w:val="clear" w:color="auto" w:fill="auto"/>
            <w:vAlign w:val="center"/>
          </w:tcPr>
          <w:p w14:paraId="041A9582">
            <w:pPr>
              <w:jc w:val="center"/>
              <w:rPr>
                <w:rFonts w:ascii="仿宋" w:hAnsi="仿宋" w:eastAsia="仿宋" w:cs="宋体"/>
                <w:color w:val="000000"/>
                <w:sz w:val="24"/>
                <w:szCs w:val="24"/>
              </w:rPr>
            </w:pPr>
            <w:r>
              <w:rPr>
                <w:rFonts w:hint="eastAsia" w:ascii="仿宋" w:hAnsi="仿宋" w:eastAsia="仿宋" w:cs="宋体"/>
                <w:color w:val="000000"/>
                <w:sz w:val="24"/>
                <w:szCs w:val="24"/>
              </w:rPr>
              <w:t>王庆芳</w:t>
            </w:r>
          </w:p>
        </w:tc>
        <w:tc>
          <w:tcPr>
            <w:tcW w:w="2010" w:type="dxa"/>
            <w:tcBorders>
              <w:top w:val="nil"/>
              <w:left w:val="nil"/>
              <w:bottom w:val="single" w:color="auto" w:sz="4" w:space="0"/>
              <w:right w:val="single" w:color="auto" w:sz="4" w:space="0"/>
            </w:tcBorders>
            <w:shd w:val="clear" w:color="auto" w:fill="auto"/>
            <w:vAlign w:val="center"/>
          </w:tcPr>
          <w:p w14:paraId="0AE63F39">
            <w:pPr>
              <w:jc w:val="center"/>
              <w:rPr>
                <w:rFonts w:ascii="仿宋" w:hAnsi="仿宋" w:eastAsia="仿宋" w:cs="宋体"/>
                <w:color w:val="000000"/>
                <w:sz w:val="24"/>
                <w:szCs w:val="24"/>
              </w:rPr>
            </w:pPr>
            <w:r>
              <w:rPr>
                <w:rFonts w:hint="eastAsia" w:ascii="仿宋" w:hAnsi="仿宋" w:eastAsia="仿宋" w:cs="宋体"/>
                <w:color w:val="000000"/>
                <w:sz w:val="24"/>
                <w:szCs w:val="24"/>
              </w:rPr>
              <w:t>大队长</w:t>
            </w:r>
          </w:p>
        </w:tc>
        <w:tc>
          <w:tcPr>
            <w:tcW w:w="2070" w:type="dxa"/>
            <w:tcBorders>
              <w:top w:val="nil"/>
              <w:left w:val="nil"/>
              <w:bottom w:val="single" w:color="auto" w:sz="4" w:space="0"/>
              <w:right w:val="single" w:color="auto" w:sz="4" w:space="0"/>
            </w:tcBorders>
            <w:shd w:val="clear" w:color="auto" w:fill="auto"/>
            <w:vAlign w:val="center"/>
          </w:tcPr>
          <w:p w14:paraId="3E141A84">
            <w:pPr>
              <w:jc w:val="center"/>
              <w:rPr>
                <w:rFonts w:ascii="仿宋" w:hAnsi="仿宋" w:eastAsia="仿宋" w:cs="宋体"/>
                <w:color w:val="000000"/>
                <w:sz w:val="24"/>
                <w:szCs w:val="24"/>
              </w:rPr>
            </w:pPr>
            <w:r>
              <w:rPr>
                <w:rFonts w:hint="eastAsia" w:ascii="仿宋" w:hAnsi="仿宋" w:eastAsia="仿宋" w:cs="宋体"/>
                <w:color w:val="000000"/>
                <w:sz w:val="24"/>
                <w:szCs w:val="24"/>
              </w:rPr>
              <w:t>13856180998</w:t>
            </w:r>
          </w:p>
        </w:tc>
      </w:tr>
      <w:tr w14:paraId="2DE1491B">
        <w:tblPrEx>
          <w:tblCellMar>
            <w:top w:w="0" w:type="dxa"/>
            <w:left w:w="108" w:type="dxa"/>
            <w:bottom w:w="0" w:type="dxa"/>
            <w:right w:w="108" w:type="dxa"/>
          </w:tblCellMar>
        </w:tblPrEx>
        <w:trPr>
          <w:trHeight w:val="57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46B87D82">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17</w:t>
            </w:r>
          </w:p>
        </w:tc>
        <w:tc>
          <w:tcPr>
            <w:tcW w:w="2739" w:type="dxa"/>
            <w:tcBorders>
              <w:top w:val="nil"/>
              <w:left w:val="nil"/>
              <w:bottom w:val="single" w:color="auto" w:sz="4" w:space="0"/>
              <w:right w:val="single" w:color="auto" w:sz="4" w:space="0"/>
            </w:tcBorders>
            <w:shd w:val="clear" w:color="auto" w:fill="auto"/>
            <w:vAlign w:val="center"/>
          </w:tcPr>
          <w:p w14:paraId="2EB3B779">
            <w:pPr>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淮北市自然资源和规划局烈山分局</w:t>
            </w:r>
          </w:p>
        </w:tc>
        <w:tc>
          <w:tcPr>
            <w:tcW w:w="1350" w:type="dxa"/>
            <w:tcBorders>
              <w:top w:val="nil"/>
              <w:left w:val="nil"/>
              <w:bottom w:val="single" w:color="auto" w:sz="4" w:space="0"/>
              <w:right w:val="single" w:color="auto" w:sz="4" w:space="0"/>
            </w:tcBorders>
            <w:shd w:val="clear" w:color="auto" w:fill="auto"/>
            <w:vAlign w:val="center"/>
          </w:tcPr>
          <w:p w14:paraId="3F926F3B">
            <w:pPr>
              <w:jc w:val="center"/>
              <w:rPr>
                <w:rFonts w:ascii="仿宋" w:hAnsi="仿宋" w:eastAsia="仿宋" w:cs="宋体"/>
                <w:color w:val="000000"/>
                <w:sz w:val="24"/>
                <w:szCs w:val="24"/>
              </w:rPr>
            </w:pPr>
            <w:r>
              <w:rPr>
                <w:rFonts w:hint="eastAsia" w:ascii="仿宋" w:hAnsi="仿宋" w:eastAsia="仿宋" w:cs="宋体"/>
                <w:color w:val="000000"/>
                <w:sz w:val="24"/>
                <w:szCs w:val="24"/>
              </w:rPr>
              <w:t>储颖堃</w:t>
            </w:r>
          </w:p>
        </w:tc>
        <w:tc>
          <w:tcPr>
            <w:tcW w:w="2010" w:type="dxa"/>
            <w:tcBorders>
              <w:top w:val="nil"/>
              <w:left w:val="nil"/>
              <w:bottom w:val="single" w:color="auto" w:sz="4" w:space="0"/>
              <w:right w:val="single" w:color="auto" w:sz="4" w:space="0"/>
            </w:tcBorders>
            <w:shd w:val="clear" w:color="auto" w:fill="auto"/>
            <w:vAlign w:val="center"/>
          </w:tcPr>
          <w:p w14:paraId="6FC1EED7">
            <w:pPr>
              <w:jc w:val="center"/>
              <w:rPr>
                <w:rFonts w:ascii="仿宋" w:hAnsi="仿宋" w:eastAsia="仿宋" w:cs="宋体"/>
                <w:color w:val="000000"/>
                <w:sz w:val="24"/>
                <w:szCs w:val="24"/>
              </w:rPr>
            </w:pPr>
            <w:r>
              <w:rPr>
                <w:rFonts w:hint="eastAsia" w:ascii="仿宋" w:hAnsi="仿宋" w:eastAsia="仿宋" w:cs="宋体"/>
                <w:color w:val="000000"/>
                <w:sz w:val="24"/>
                <w:szCs w:val="24"/>
              </w:rPr>
              <w:t>局长</w:t>
            </w:r>
          </w:p>
        </w:tc>
        <w:tc>
          <w:tcPr>
            <w:tcW w:w="2070" w:type="dxa"/>
            <w:tcBorders>
              <w:top w:val="nil"/>
              <w:left w:val="nil"/>
              <w:bottom w:val="single" w:color="auto" w:sz="4" w:space="0"/>
              <w:right w:val="single" w:color="auto" w:sz="4" w:space="0"/>
            </w:tcBorders>
            <w:shd w:val="clear" w:color="auto" w:fill="auto"/>
            <w:vAlign w:val="center"/>
          </w:tcPr>
          <w:p w14:paraId="7DF4A816">
            <w:pPr>
              <w:jc w:val="center"/>
              <w:rPr>
                <w:rFonts w:ascii="仿宋" w:hAnsi="仿宋" w:eastAsia="仿宋" w:cs="宋体"/>
                <w:color w:val="000000"/>
                <w:sz w:val="24"/>
                <w:szCs w:val="24"/>
              </w:rPr>
            </w:pPr>
            <w:r>
              <w:rPr>
                <w:rFonts w:hint="eastAsia" w:ascii="仿宋" w:hAnsi="仿宋" w:eastAsia="仿宋" w:cs="宋体"/>
                <w:color w:val="000000"/>
                <w:sz w:val="24"/>
                <w:szCs w:val="24"/>
              </w:rPr>
              <w:t>15956169779</w:t>
            </w:r>
          </w:p>
        </w:tc>
      </w:tr>
      <w:tr w14:paraId="719E0D2C">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36BE670D">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18</w:t>
            </w:r>
          </w:p>
        </w:tc>
        <w:tc>
          <w:tcPr>
            <w:tcW w:w="2739" w:type="dxa"/>
            <w:tcBorders>
              <w:top w:val="nil"/>
              <w:left w:val="nil"/>
              <w:bottom w:val="single" w:color="auto" w:sz="4" w:space="0"/>
              <w:right w:val="single" w:color="auto" w:sz="4" w:space="0"/>
            </w:tcBorders>
            <w:shd w:val="clear" w:color="auto" w:fill="auto"/>
            <w:vAlign w:val="center"/>
          </w:tcPr>
          <w:p w14:paraId="41843A2F">
            <w:pPr>
              <w:jc w:val="center"/>
              <w:rPr>
                <w:rFonts w:ascii="仿宋" w:hAnsi="仿宋" w:eastAsia="仿宋" w:cs="宋体"/>
                <w:color w:val="000000"/>
                <w:sz w:val="24"/>
                <w:szCs w:val="24"/>
              </w:rPr>
            </w:pPr>
            <w:r>
              <w:rPr>
                <w:rFonts w:hint="eastAsia" w:ascii="仿宋" w:hAnsi="仿宋" w:eastAsia="仿宋" w:cs="宋体"/>
                <w:color w:val="000000"/>
                <w:sz w:val="24"/>
                <w:szCs w:val="24"/>
              </w:rPr>
              <w:t>区消防救援大队</w:t>
            </w:r>
          </w:p>
        </w:tc>
        <w:tc>
          <w:tcPr>
            <w:tcW w:w="1350" w:type="dxa"/>
            <w:tcBorders>
              <w:top w:val="nil"/>
              <w:left w:val="nil"/>
              <w:bottom w:val="single" w:color="auto" w:sz="4" w:space="0"/>
              <w:right w:val="single" w:color="auto" w:sz="4" w:space="0"/>
            </w:tcBorders>
            <w:shd w:val="clear" w:color="auto" w:fill="auto"/>
            <w:vAlign w:val="center"/>
          </w:tcPr>
          <w:p w14:paraId="08B8FC76">
            <w:pPr>
              <w:jc w:val="center"/>
              <w:rPr>
                <w:rFonts w:ascii="仿宋" w:hAnsi="仿宋" w:eastAsia="仿宋" w:cs="宋体"/>
                <w:color w:val="000000"/>
                <w:sz w:val="24"/>
                <w:szCs w:val="24"/>
              </w:rPr>
            </w:pPr>
            <w:r>
              <w:rPr>
                <w:rFonts w:hint="eastAsia" w:ascii="仿宋" w:hAnsi="仿宋" w:eastAsia="仿宋" w:cs="宋体"/>
                <w:color w:val="000000"/>
                <w:sz w:val="24"/>
                <w:szCs w:val="24"/>
              </w:rPr>
              <w:t>陈春雷</w:t>
            </w:r>
          </w:p>
        </w:tc>
        <w:tc>
          <w:tcPr>
            <w:tcW w:w="2010" w:type="dxa"/>
            <w:tcBorders>
              <w:top w:val="nil"/>
              <w:left w:val="nil"/>
              <w:bottom w:val="single" w:color="auto" w:sz="4" w:space="0"/>
              <w:right w:val="single" w:color="auto" w:sz="4" w:space="0"/>
            </w:tcBorders>
            <w:shd w:val="clear" w:color="auto" w:fill="auto"/>
            <w:vAlign w:val="center"/>
          </w:tcPr>
          <w:p w14:paraId="3BB9F71C">
            <w:pPr>
              <w:jc w:val="center"/>
              <w:rPr>
                <w:rFonts w:ascii="仿宋" w:hAnsi="仿宋" w:eastAsia="仿宋" w:cs="宋体"/>
                <w:color w:val="000000"/>
                <w:sz w:val="24"/>
                <w:szCs w:val="24"/>
              </w:rPr>
            </w:pPr>
            <w:r>
              <w:rPr>
                <w:rFonts w:hint="eastAsia" w:ascii="仿宋" w:hAnsi="仿宋" w:eastAsia="仿宋" w:cs="宋体"/>
                <w:color w:val="000000"/>
                <w:sz w:val="24"/>
                <w:szCs w:val="24"/>
              </w:rPr>
              <w:t>站长</w:t>
            </w:r>
          </w:p>
        </w:tc>
        <w:tc>
          <w:tcPr>
            <w:tcW w:w="2070" w:type="dxa"/>
            <w:tcBorders>
              <w:top w:val="nil"/>
              <w:left w:val="nil"/>
              <w:bottom w:val="single" w:color="auto" w:sz="4" w:space="0"/>
              <w:right w:val="single" w:color="auto" w:sz="4" w:space="0"/>
            </w:tcBorders>
            <w:shd w:val="clear" w:color="auto" w:fill="auto"/>
            <w:vAlign w:val="center"/>
          </w:tcPr>
          <w:p w14:paraId="6849C882">
            <w:pPr>
              <w:jc w:val="center"/>
              <w:rPr>
                <w:rFonts w:ascii="仿宋" w:hAnsi="仿宋" w:eastAsia="仿宋" w:cs="宋体"/>
                <w:color w:val="000000"/>
                <w:sz w:val="24"/>
                <w:szCs w:val="24"/>
              </w:rPr>
            </w:pPr>
            <w:r>
              <w:rPr>
                <w:rFonts w:hint="eastAsia" w:ascii="仿宋" w:hAnsi="仿宋" w:eastAsia="仿宋" w:cs="宋体"/>
                <w:color w:val="000000"/>
                <w:sz w:val="24"/>
                <w:szCs w:val="24"/>
              </w:rPr>
              <w:t>13615612556</w:t>
            </w:r>
          </w:p>
        </w:tc>
      </w:tr>
      <w:tr w14:paraId="0CC1C77D">
        <w:tblPrEx>
          <w:tblCellMar>
            <w:top w:w="0" w:type="dxa"/>
            <w:left w:w="108" w:type="dxa"/>
            <w:bottom w:w="0" w:type="dxa"/>
            <w:right w:w="108" w:type="dxa"/>
          </w:tblCellMar>
        </w:tblPrEx>
        <w:trPr>
          <w:trHeight w:val="57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576C4B0B">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19</w:t>
            </w:r>
          </w:p>
        </w:tc>
        <w:tc>
          <w:tcPr>
            <w:tcW w:w="2739" w:type="dxa"/>
            <w:tcBorders>
              <w:top w:val="nil"/>
              <w:left w:val="nil"/>
              <w:bottom w:val="single" w:color="auto" w:sz="4" w:space="0"/>
              <w:right w:val="single" w:color="auto" w:sz="4" w:space="0"/>
            </w:tcBorders>
            <w:shd w:val="clear" w:color="auto" w:fill="auto"/>
            <w:vAlign w:val="center"/>
          </w:tcPr>
          <w:p w14:paraId="7087BAC9">
            <w:pPr>
              <w:jc w:val="center"/>
              <w:rPr>
                <w:rFonts w:ascii="仿宋" w:hAnsi="仿宋" w:eastAsia="仿宋" w:cs="宋体"/>
                <w:color w:val="000000"/>
                <w:sz w:val="24"/>
                <w:szCs w:val="24"/>
              </w:rPr>
            </w:pPr>
            <w:r>
              <w:rPr>
                <w:rFonts w:hint="eastAsia" w:ascii="仿宋" w:hAnsi="仿宋" w:eastAsia="仿宋" w:cs="宋体"/>
                <w:color w:val="000000"/>
                <w:sz w:val="24"/>
                <w:szCs w:val="24"/>
              </w:rPr>
              <w:t>烈山道路运输管理服务中心</w:t>
            </w:r>
          </w:p>
        </w:tc>
        <w:tc>
          <w:tcPr>
            <w:tcW w:w="1350" w:type="dxa"/>
            <w:tcBorders>
              <w:top w:val="nil"/>
              <w:left w:val="nil"/>
              <w:bottom w:val="single" w:color="auto" w:sz="4" w:space="0"/>
              <w:right w:val="single" w:color="auto" w:sz="4" w:space="0"/>
            </w:tcBorders>
            <w:shd w:val="clear" w:color="auto" w:fill="auto"/>
            <w:vAlign w:val="center"/>
          </w:tcPr>
          <w:p w14:paraId="2215B066">
            <w:pPr>
              <w:jc w:val="center"/>
              <w:rPr>
                <w:rFonts w:ascii="仿宋" w:hAnsi="仿宋" w:eastAsia="仿宋" w:cs="宋体"/>
                <w:color w:val="000000"/>
                <w:sz w:val="24"/>
                <w:szCs w:val="24"/>
              </w:rPr>
            </w:pPr>
            <w:r>
              <w:rPr>
                <w:rFonts w:hint="eastAsia" w:ascii="仿宋" w:hAnsi="仿宋" w:eastAsia="仿宋" w:cs="宋体"/>
                <w:color w:val="000000"/>
                <w:sz w:val="24"/>
                <w:szCs w:val="24"/>
              </w:rPr>
              <w:t>潘峰</w:t>
            </w:r>
          </w:p>
        </w:tc>
        <w:tc>
          <w:tcPr>
            <w:tcW w:w="2010" w:type="dxa"/>
            <w:tcBorders>
              <w:top w:val="nil"/>
              <w:left w:val="nil"/>
              <w:bottom w:val="single" w:color="auto" w:sz="4" w:space="0"/>
              <w:right w:val="single" w:color="auto" w:sz="4" w:space="0"/>
            </w:tcBorders>
            <w:shd w:val="clear" w:color="auto" w:fill="auto"/>
            <w:vAlign w:val="center"/>
          </w:tcPr>
          <w:p w14:paraId="351D0ACD">
            <w:pPr>
              <w:jc w:val="center"/>
              <w:rPr>
                <w:rFonts w:ascii="仿宋" w:hAnsi="仿宋" w:eastAsia="仿宋" w:cs="宋体"/>
                <w:color w:val="000000"/>
                <w:sz w:val="24"/>
                <w:szCs w:val="24"/>
              </w:rPr>
            </w:pPr>
            <w:r>
              <w:rPr>
                <w:rFonts w:hint="eastAsia" w:ascii="仿宋" w:hAnsi="仿宋" w:eastAsia="仿宋" w:cs="宋体"/>
                <w:color w:val="000000"/>
                <w:sz w:val="24"/>
                <w:szCs w:val="24"/>
              </w:rPr>
              <w:t>副主任</w:t>
            </w:r>
          </w:p>
        </w:tc>
        <w:tc>
          <w:tcPr>
            <w:tcW w:w="2070" w:type="dxa"/>
            <w:tcBorders>
              <w:top w:val="nil"/>
              <w:left w:val="nil"/>
              <w:bottom w:val="single" w:color="auto" w:sz="4" w:space="0"/>
              <w:right w:val="single" w:color="auto" w:sz="4" w:space="0"/>
            </w:tcBorders>
            <w:shd w:val="clear" w:color="auto" w:fill="auto"/>
            <w:vAlign w:val="center"/>
          </w:tcPr>
          <w:p w14:paraId="36343AD5">
            <w:pPr>
              <w:jc w:val="center"/>
              <w:rPr>
                <w:rFonts w:ascii="仿宋" w:hAnsi="仿宋" w:eastAsia="仿宋" w:cs="宋体"/>
                <w:color w:val="000000"/>
                <w:sz w:val="24"/>
                <w:szCs w:val="24"/>
              </w:rPr>
            </w:pPr>
            <w:r>
              <w:rPr>
                <w:rFonts w:hint="eastAsia" w:ascii="仿宋" w:hAnsi="仿宋" w:eastAsia="仿宋" w:cs="宋体"/>
                <w:color w:val="000000"/>
                <w:sz w:val="24"/>
                <w:szCs w:val="24"/>
              </w:rPr>
              <w:t>13966116780</w:t>
            </w:r>
          </w:p>
        </w:tc>
      </w:tr>
      <w:tr w14:paraId="01EADA6F">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010EAC2E">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20</w:t>
            </w:r>
          </w:p>
        </w:tc>
        <w:tc>
          <w:tcPr>
            <w:tcW w:w="2739" w:type="dxa"/>
            <w:tcBorders>
              <w:top w:val="nil"/>
              <w:left w:val="nil"/>
              <w:bottom w:val="single" w:color="auto" w:sz="4" w:space="0"/>
              <w:right w:val="single" w:color="auto" w:sz="4" w:space="0"/>
            </w:tcBorders>
            <w:shd w:val="clear" w:color="auto" w:fill="auto"/>
            <w:vAlign w:val="center"/>
          </w:tcPr>
          <w:p w14:paraId="2AF002CE">
            <w:pPr>
              <w:jc w:val="center"/>
              <w:rPr>
                <w:rFonts w:ascii="仿宋" w:hAnsi="仿宋" w:eastAsia="仿宋" w:cs="宋体"/>
                <w:color w:val="000000"/>
                <w:sz w:val="24"/>
                <w:szCs w:val="24"/>
              </w:rPr>
            </w:pPr>
            <w:r>
              <w:rPr>
                <w:rFonts w:hint="eastAsia" w:ascii="仿宋" w:hAnsi="仿宋" w:eastAsia="仿宋" w:cs="宋体"/>
                <w:color w:val="000000"/>
                <w:sz w:val="24"/>
                <w:szCs w:val="24"/>
              </w:rPr>
              <w:t>烈山供电部门</w:t>
            </w:r>
          </w:p>
        </w:tc>
        <w:tc>
          <w:tcPr>
            <w:tcW w:w="1350" w:type="dxa"/>
            <w:tcBorders>
              <w:top w:val="nil"/>
              <w:left w:val="nil"/>
              <w:bottom w:val="single" w:color="auto" w:sz="4" w:space="0"/>
              <w:right w:val="single" w:color="auto" w:sz="4" w:space="0"/>
            </w:tcBorders>
            <w:shd w:val="clear" w:color="auto" w:fill="auto"/>
            <w:vAlign w:val="bottom"/>
          </w:tcPr>
          <w:p w14:paraId="54A8651D">
            <w:pPr>
              <w:rPr>
                <w:rFonts w:ascii="宋体" w:hAnsi="宋体" w:eastAsia="宋体" w:cs="宋体"/>
                <w:color w:val="000000"/>
                <w:sz w:val="22"/>
              </w:rPr>
            </w:pPr>
            <w:r>
              <w:rPr>
                <w:rFonts w:hint="eastAsia" w:ascii="宋体" w:hAnsi="宋体" w:eastAsia="宋体" w:cs="宋体"/>
                <w:color w:val="000000"/>
                <w:sz w:val="22"/>
              </w:rPr>
              <w:t>　</w:t>
            </w:r>
          </w:p>
        </w:tc>
        <w:tc>
          <w:tcPr>
            <w:tcW w:w="2010" w:type="dxa"/>
            <w:tcBorders>
              <w:top w:val="nil"/>
              <w:left w:val="nil"/>
              <w:bottom w:val="single" w:color="auto" w:sz="4" w:space="0"/>
              <w:right w:val="single" w:color="auto" w:sz="4" w:space="0"/>
            </w:tcBorders>
            <w:shd w:val="clear" w:color="auto" w:fill="auto"/>
            <w:vAlign w:val="bottom"/>
          </w:tcPr>
          <w:p w14:paraId="5B3BEB6D">
            <w:pPr>
              <w:rPr>
                <w:rFonts w:ascii="宋体" w:hAnsi="宋体" w:eastAsia="宋体" w:cs="宋体"/>
                <w:color w:val="000000"/>
                <w:sz w:val="22"/>
              </w:rPr>
            </w:pPr>
            <w:r>
              <w:rPr>
                <w:rFonts w:hint="eastAsia" w:ascii="宋体" w:hAnsi="宋体" w:eastAsia="宋体" w:cs="宋体"/>
                <w:color w:val="000000"/>
                <w:sz w:val="22"/>
              </w:rPr>
              <w:t>　</w:t>
            </w:r>
          </w:p>
        </w:tc>
        <w:tc>
          <w:tcPr>
            <w:tcW w:w="2070" w:type="dxa"/>
            <w:tcBorders>
              <w:top w:val="nil"/>
              <w:left w:val="nil"/>
              <w:bottom w:val="single" w:color="auto" w:sz="4" w:space="0"/>
              <w:right w:val="single" w:color="auto" w:sz="4" w:space="0"/>
            </w:tcBorders>
            <w:shd w:val="clear" w:color="auto" w:fill="auto"/>
            <w:vAlign w:val="bottom"/>
          </w:tcPr>
          <w:p w14:paraId="24C3ADAF">
            <w:pPr>
              <w:rPr>
                <w:rFonts w:ascii="宋体" w:hAnsi="宋体" w:eastAsia="宋体" w:cs="宋体"/>
                <w:color w:val="000000"/>
                <w:sz w:val="22"/>
              </w:rPr>
            </w:pPr>
            <w:r>
              <w:rPr>
                <w:rFonts w:hint="eastAsia" w:ascii="宋体" w:hAnsi="宋体" w:eastAsia="宋体" w:cs="宋体"/>
                <w:color w:val="000000"/>
                <w:sz w:val="22"/>
              </w:rPr>
              <w:t>　</w:t>
            </w:r>
          </w:p>
        </w:tc>
      </w:tr>
      <w:tr w14:paraId="17FC47C8">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29CA8F38">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21</w:t>
            </w:r>
          </w:p>
        </w:tc>
        <w:tc>
          <w:tcPr>
            <w:tcW w:w="2739" w:type="dxa"/>
            <w:tcBorders>
              <w:top w:val="nil"/>
              <w:left w:val="nil"/>
              <w:bottom w:val="single" w:color="auto" w:sz="4" w:space="0"/>
              <w:right w:val="single" w:color="auto" w:sz="4" w:space="0"/>
            </w:tcBorders>
            <w:shd w:val="clear" w:color="auto" w:fill="auto"/>
            <w:vAlign w:val="center"/>
          </w:tcPr>
          <w:p w14:paraId="5AE52858">
            <w:pPr>
              <w:jc w:val="center"/>
              <w:rPr>
                <w:rFonts w:ascii="仿宋" w:hAnsi="仿宋" w:eastAsia="仿宋" w:cs="宋体"/>
                <w:color w:val="000000"/>
                <w:sz w:val="24"/>
                <w:szCs w:val="24"/>
              </w:rPr>
            </w:pPr>
            <w:r>
              <w:rPr>
                <w:rFonts w:hint="eastAsia" w:ascii="仿宋" w:hAnsi="仿宋" w:eastAsia="仿宋" w:cs="宋体"/>
                <w:color w:val="000000"/>
                <w:sz w:val="24"/>
                <w:szCs w:val="24"/>
              </w:rPr>
              <w:t>烈山经济开发区</w:t>
            </w:r>
          </w:p>
        </w:tc>
        <w:tc>
          <w:tcPr>
            <w:tcW w:w="1350" w:type="dxa"/>
            <w:tcBorders>
              <w:top w:val="nil"/>
              <w:left w:val="nil"/>
              <w:bottom w:val="single" w:color="auto" w:sz="4" w:space="0"/>
              <w:right w:val="single" w:color="auto" w:sz="4" w:space="0"/>
            </w:tcBorders>
            <w:shd w:val="clear" w:color="auto" w:fill="auto"/>
            <w:vAlign w:val="center"/>
          </w:tcPr>
          <w:p w14:paraId="24499003">
            <w:pPr>
              <w:jc w:val="center"/>
              <w:rPr>
                <w:rFonts w:ascii="仿宋" w:hAnsi="仿宋" w:eastAsia="仿宋" w:cs="宋体"/>
                <w:color w:val="000000"/>
                <w:sz w:val="24"/>
                <w:szCs w:val="24"/>
              </w:rPr>
            </w:pPr>
            <w:r>
              <w:rPr>
                <w:rFonts w:hint="eastAsia" w:ascii="仿宋" w:hAnsi="仿宋" w:eastAsia="仿宋" w:cs="宋体"/>
                <w:color w:val="000000"/>
                <w:sz w:val="24"/>
                <w:szCs w:val="24"/>
              </w:rPr>
              <w:t>郭立洋</w:t>
            </w:r>
          </w:p>
        </w:tc>
        <w:tc>
          <w:tcPr>
            <w:tcW w:w="2010" w:type="dxa"/>
            <w:tcBorders>
              <w:top w:val="nil"/>
              <w:left w:val="nil"/>
              <w:bottom w:val="single" w:color="auto" w:sz="4" w:space="0"/>
              <w:right w:val="single" w:color="auto" w:sz="4" w:space="0"/>
            </w:tcBorders>
            <w:shd w:val="clear" w:color="auto" w:fill="auto"/>
            <w:vAlign w:val="center"/>
          </w:tcPr>
          <w:p w14:paraId="352686FA">
            <w:pPr>
              <w:jc w:val="center"/>
              <w:rPr>
                <w:rFonts w:ascii="仿宋" w:hAnsi="仿宋" w:eastAsia="仿宋" w:cs="宋体"/>
                <w:color w:val="000000"/>
                <w:sz w:val="24"/>
                <w:szCs w:val="24"/>
              </w:rPr>
            </w:pPr>
            <w:r>
              <w:rPr>
                <w:rFonts w:hint="eastAsia" w:ascii="仿宋" w:hAnsi="仿宋" w:eastAsia="仿宋" w:cs="宋体"/>
                <w:color w:val="000000"/>
                <w:sz w:val="24"/>
                <w:szCs w:val="24"/>
              </w:rPr>
              <w:t>党工委副书记</w:t>
            </w:r>
          </w:p>
        </w:tc>
        <w:tc>
          <w:tcPr>
            <w:tcW w:w="2070" w:type="dxa"/>
            <w:tcBorders>
              <w:top w:val="nil"/>
              <w:left w:val="nil"/>
              <w:bottom w:val="single" w:color="auto" w:sz="4" w:space="0"/>
              <w:right w:val="single" w:color="auto" w:sz="4" w:space="0"/>
            </w:tcBorders>
            <w:shd w:val="clear" w:color="auto" w:fill="auto"/>
            <w:vAlign w:val="center"/>
          </w:tcPr>
          <w:p w14:paraId="2214EE07">
            <w:pPr>
              <w:jc w:val="center"/>
              <w:rPr>
                <w:rFonts w:ascii="仿宋" w:hAnsi="仿宋" w:eastAsia="仿宋" w:cs="宋体"/>
                <w:color w:val="000000"/>
                <w:sz w:val="24"/>
                <w:szCs w:val="24"/>
              </w:rPr>
            </w:pPr>
            <w:r>
              <w:rPr>
                <w:rFonts w:hint="eastAsia" w:ascii="仿宋" w:hAnsi="仿宋" w:eastAsia="仿宋" w:cs="宋体"/>
                <w:color w:val="000000"/>
                <w:sz w:val="24"/>
                <w:szCs w:val="24"/>
              </w:rPr>
              <w:t>15715616763</w:t>
            </w:r>
          </w:p>
        </w:tc>
      </w:tr>
      <w:tr w14:paraId="6E274356">
        <w:tblPrEx>
          <w:tblCellMar>
            <w:top w:w="0" w:type="dxa"/>
            <w:left w:w="108" w:type="dxa"/>
            <w:bottom w:w="0" w:type="dxa"/>
            <w:right w:w="108" w:type="dxa"/>
          </w:tblCellMar>
        </w:tblPrEx>
        <w:trPr>
          <w:trHeight w:val="570"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445A70D7">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22</w:t>
            </w:r>
          </w:p>
        </w:tc>
        <w:tc>
          <w:tcPr>
            <w:tcW w:w="2739" w:type="dxa"/>
            <w:tcBorders>
              <w:top w:val="nil"/>
              <w:left w:val="nil"/>
              <w:bottom w:val="single" w:color="auto" w:sz="4" w:space="0"/>
              <w:right w:val="single" w:color="auto" w:sz="4" w:space="0"/>
            </w:tcBorders>
            <w:shd w:val="clear" w:color="auto" w:fill="auto"/>
            <w:vAlign w:val="center"/>
          </w:tcPr>
          <w:p w14:paraId="5CA7AFE3">
            <w:pPr>
              <w:jc w:val="center"/>
              <w:rPr>
                <w:rFonts w:ascii="仿宋" w:hAnsi="仿宋" w:eastAsia="仿宋" w:cs="宋体"/>
                <w:color w:val="000000"/>
                <w:sz w:val="24"/>
                <w:szCs w:val="24"/>
              </w:rPr>
            </w:pPr>
            <w:r>
              <w:rPr>
                <w:rFonts w:hint="eastAsia" w:ascii="仿宋" w:hAnsi="仿宋" w:eastAsia="仿宋" w:cs="宋体"/>
                <w:color w:val="000000"/>
                <w:sz w:val="24"/>
                <w:szCs w:val="24"/>
              </w:rPr>
              <w:t>烈山镇人民政府</w:t>
            </w:r>
          </w:p>
        </w:tc>
        <w:tc>
          <w:tcPr>
            <w:tcW w:w="1350" w:type="dxa"/>
            <w:tcBorders>
              <w:top w:val="nil"/>
              <w:left w:val="nil"/>
              <w:bottom w:val="single" w:color="auto" w:sz="4" w:space="0"/>
              <w:right w:val="single" w:color="auto" w:sz="4" w:space="0"/>
            </w:tcBorders>
            <w:shd w:val="clear" w:color="auto" w:fill="auto"/>
            <w:vAlign w:val="center"/>
          </w:tcPr>
          <w:p w14:paraId="281371C1">
            <w:pPr>
              <w:jc w:val="center"/>
              <w:rPr>
                <w:rFonts w:ascii="仿宋" w:hAnsi="仿宋" w:eastAsia="仿宋" w:cs="宋体"/>
                <w:color w:val="000000"/>
                <w:sz w:val="24"/>
                <w:szCs w:val="24"/>
              </w:rPr>
            </w:pPr>
            <w:r>
              <w:rPr>
                <w:rFonts w:hint="eastAsia" w:ascii="仿宋" w:hAnsi="仿宋" w:eastAsia="仿宋" w:cs="宋体"/>
                <w:color w:val="000000"/>
                <w:sz w:val="24"/>
                <w:szCs w:val="24"/>
              </w:rPr>
              <w:t>王琳</w:t>
            </w:r>
          </w:p>
        </w:tc>
        <w:tc>
          <w:tcPr>
            <w:tcW w:w="2010" w:type="dxa"/>
            <w:tcBorders>
              <w:top w:val="nil"/>
              <w:left w:val="nil"/>
              <w:bottom w:val="single" w:color="auto" w:sz="4" w:space="0"/>
              <w:right w:val="single" w:color="auto" w:sz="4" w:space="0"/>
            </w:tcBorders>
            <w:shd w:val="clear" w:color="auto" w:fill="auto"/>
            <w:vAlign w:val="center"/>
          </w:tcPr>
          <w:p w14:paraId="0CFFCE3C">
            <w:pPr>
              <w:jc w:val="center"/>
              <w:rPr>
                <w:rFonts w:ascii="仿宋" w:hAnsi="仿宋" w:eastAsia="仿宋" w:cs="宋体"/>
                <w:color w:val="000000"/>
                <w:sz w:val="24"/>
                <w:szCs w:val="24"/>
              </w:rPr>
            </w:pPr>
            <w:r>
              <w:rPr>
                <w:rFonts w:hint="eastAsia" w:ascii="仿宋" w:hAnsi="仿宋" w:eastAsia="仿宋" w:cs="宋体"/>
                <w:color w:val="000000"/>
                <w:sz w:val="24"/>
                <w:szCs w:val="24"/>
              </w:rPr>
              <w:t>党委委员、副镇长</w:t>
            </w:r>
          </w:p>
        </w:tc>
        <w:tc>
          <w:tcPr>
            <w:tcW w:w="2070" w:type="dxa"/>
            <w:tcBorders>
              <w:top w:val="nil"/>
              <w:left w:val="nil"/>
              <w:bottom w:val="single" w:color="auto" w:sz="4" w:space="0"/>
              <w:right w:val="single" w:color="auto" w:sz="4" w:space="0"/>
            </w:tcBorders>
            <w:shd w:val="clear" w:color="auto" w:fill="auto"/>
            <w:vAlign w:val="center"/>
          </w:tcPr>
          <w:p w14:paraId="4C979476">
            <w:pPr>
              <w:jc w:val="center"/>
              <w:rPr>
                <w:rFonts w:ascii="仿宋" w:hAnsi="仿宋" w:eastAsia="仿宋" w:cs="宋体"/>
                <w:color w:val="000000"/>
                <w:sz w:val="24"/>
                <w:szCs w:val="24"/>
              </w:rPr>
            </w:pPr>
            <w:r>
              <w:rPr>
                <w:rFonts w:hint="eastAsia" w:ascii="仿宋" w:hAnsi="仿宋" w:eastAsia="仿宋" w:cs="宋体"/>
                <w:color w:val="000000"/>
                <w:sz w:val="24"/>
                <w:szCs w:val="24"/>
              </w:rPr>
              <w:t>13966145109</w:t>
            </w:r>
          </w:p>
        </w:tc>
      </w:tr>
      <w:tr w14:paraId="62D0EA42">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734F3D97">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23</w:t>
            </w:r>
          </w:p>
        </w:tc>
        <w:tc>
          <w:tcPr>
            <w:tcW w:w="2739" w:type="dxa"/>
            <w:tcBorders>
              <w:top w:val="nil"/>
              <w:left w:val="nil"/>
              <w:bottom w:val="single" w:color="auto" w:sz="4" w:space="0"/>
              <w:right w:val="single" w:color="auto" w:sz="4" w:space="0"/>
            </w:tcBorders>
            <w:shd w:val="clear" w:color="auto" w:fill="auto"/>
            <w:vAlign w:val="center"/>
          </w:tcPr>
          <w:p w14:paraId="41FAB3BB">
            <w:pPr>
              <w:jc w:val="center"/>
              <w:rPr>
                <w:rFonts w:ascii="仿宋" w:hAnsi="仿宋" w:eastAsia="仿宋" w:cs="宋体"/>
                <w:color w:val="000000"/>
                <w:sz w:val="24"/>
                <w:szCs w:val="24"/>
              </w:rPr>
            </w:pPr>
            <w:r>
              <w:rPr>
                <w:rFonts w:hint="eastAsia" w:ascii="仿宋" w:hAnsi="仿宋" w:eastAsia="仿宋" w:cs="宋体"/>
                <w:color w:val="000000"/>
                <w:sz w:val="24"/>
                <w:szCs w:val="24"/>
              </w:rPr>
              <w:t>宋疃镇人民政府</w:t>
            </w:r>
          </w:p>
        </w:tc>
        <w:tc>
          <w:tcPr>
            <w:tcW w:w="1350" w:type="dxa"/>
            <w:tcBorders>
              <w:top w:val="nil"/>
              <w:left w:val="nil"/>
              <w:bottom w:val="single" w:color="auto" w:sz="4" w:space="0"/>
              <w:right w:val="single" w:color="auto" w:sz="4" w:space="0"/>
            </w:tcBorders>
            <w:shd w:val="clear" w:color="auto" w:fill="auto"/>
            <w:vAlign w:val="center"/>
          </w:tcPr>
          <w:p w14:paraId="49CDD9BC">
            <w:pPr>
              <w:jc w:val="center"/>
              <w:rPr>
                <w:rFonts w:ascii="仿宋" w:hAnsi="仿宋" w:eastAsia="仿宋" w:cs="宋体"/>
                <w:color w:val="000000"/>
                <w:sz w:val="24"/>
                <w:szCs w:val="24"/>
              </w:rPr>
            </w:pPr>
            <w:r>
              <w:rPr>
                <w:rFonts w:hint="eastAsia" w:ascii="仿宋" w:hAnsi="仿宋" w:eastAsia="仿宋" w:cs="宋体"/>
                <w:color w:val="000000"/>
                <w:sz w:val="24"/>
                <w:szCs w:val="24"/>
              </w:rPr>
              <w:t>化文强</w:t>
            </w:r>
          </w:p>
        </w:tc>
        <w:tc>
          <w:tcPr>
            <w:tcW w:w="2010" w:type="dxa"/>
            <w:tcBorders>
              <w:top w:val="nil"/>
              <w:left w:val="nil"/>
              <w:bottom w:val="single" w:color="auto" w:sz="4" w:space="0"/>
              <w:right w:val="single" w:color="auto" w:sz="4" w:space="0"/>
            </w:tcBorders>
            <w:shd w:val="clear" w:color="auto" w:fill="auto"/>
            <w:vAlign w:val="center"/>
          </w:tcPr>
          <w:p w14:paraId="7926E21A">
            <w:pPr>
              <w:jc w:val="center"/>
              <w:rPr>
                <w:rFonts w:ascii="仿宋" w:hAnsi="仿宋" w:eastAsia="仿宋" w:cs="宋体"/>
                <w:color w:val="000000"/>
                <w:sz w:val="24"/>
                <w:szCs w:val="24"/>
              </w:rPr>
            </w:pPr>
            <w:r>
              <w:rPr>
                <w:rFonts w:hint="eastAsia" w:ascii="仿宋" w:hAnsi="仿宋" w:eastAsia="仿宋" w:cs="宋体"/>
                <w:color w:val="000000"/>
                <w:sz w:val="24"/>
                <w:szCs w:val="24"/>
              </w:rPr>
              <w:t>常务副镇长</w:t>
            </w:r>
          </w:p>
        </w:tc>
        <w:tc>
          <w:tcPr>
            <w:tcW w:w="2070" w:type="dxa"/>
            <w:tcBorders>
              <w:top w:val="nil"/>
              <w:left w:val="nil"/>
              <w:bottom w:val="single" w:color="auto" w:sz="4" w:space="0"/>
              <w:right w:val="single" w:color="auto" w:sz="4" w:space="0"/>
            </w:tcBorders>
            <w:shd w:val="clear" w:color="auto" w:fill="auto"/>
            <w:vAlign w:val="center"/>
          </w:tcPr>
          <w:p w14:paraId="63BCF35C">
            <w:pPr>
              <w:jc w:val="center"/>
              <w:rPr>
                <w:rFonts w:ascii="仿宋" w:hAnsi="仿宋" w:eastAsia="仿宋" w:cs="宋体"/>
                <w:color w:val="000000"/>
                <w:sz w:val="24"/>
                <w:szCs w:val="24"/>
              </w:rPr>
            </w:pPr>
            <w:r>
              <w:rPr>
                <w:rFonts w:hint="eastAsia" w:ascii="仿宋" w:hAnsi="仿宋" w:eastAsia="仿宋" w:cs="宋体"/>
                <w:color w:val="000000"/>
                <w:sz w:val="24"/>
                <w:szCs w:val="24"/>
              </w:rPr>
              <w:t>13731862089</w:t>
            </w:r>
          </w:p>
        </w:tc>
      </w:tr>
      <w:tr w14:paraId="295F58CA">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03B7DE04">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24</w:t>
            </w:r>
          </w:p>
        </w:tc>
        <w:tc>
          <w:tcPr>
            <w:tcW w:w="2739" w:type="dxa"/>
            <w:tcBorders>
              <w:top w:val="nil"/>
              <w:left w:val="nil"/>
              <w:bottom w:val="single" w:color="auto" w:sz="4" w:space="0"/>
              <w:right w:val="single" w:color="auto" w:sz="4" w:space="0"/>
            </w:tcBorders>
            <w:shd w:val="clear" w:color="auto" w:fill="auto"/>
            <w:vAlign w:val="center"/>
          </w:tcPr>
          <w:p w14:paraId="3FCCF27B">
            <w:pPr>
              <w:jc w:val="center"/>
              <w:rPr>
                <w:rFonts w:ascii="仿宋" w:hAnsi="仿宋" w:eastAsia="仿宋" w:cs="宋体"/>
                <w:color w:val="000000"/>
                <w:sz w:val="24"/>
                <w:szCs w:val="24"/>
              </w:rPr>
            </w:pPr>
            <w:r>
              <w:rPr>
                <w:rFonts w:hint="eastAsia" w:ascii="仿宋" w:hAnsi="仿宋" w:eastAsia="仿宋" w:cs="宋体"/>
                <w:color w:val="000000"/>
                <w:sz w:val="24"/>
                <w:szCs w:val="24"/>
              </w:rPr>
              <w:t>古饶镇人民政府</w:t>
            </w:r>
          </w:p>
        </w:tc>
        <w:tc>
          <w:tcPr>
            <w:tcW w:w="1350" w:type="dxa"/>
            <w:tcBorders>
              <w:top w:val="nil"/>
              <w:left w:val="nil"/>
              <w:bottom w:val="single" w:color="auto" w:sz="4" w:space="0"/>
              <w:right w:val="single" w:color="auto" w:sz="4" w:space="0"/>
            </w:tcBorders>
            <w:shd w:val="clear" w:color="auto" w:fill="auto"/>
            <w:vAlign w:val="center"/>
          </w:tcPr>
          <w:p w14:paraId="347F26E9">
            <w:pPr>
              <w:jc w:val="center"/>
              <w:rPr>
                <w:rFonts w:ascii="仿宋" w:hAnsi="仿宋" w:eastAsia="仿宋" w:cs="宋体"/>
                <w:color w:val="000000"/>
                <w:sz w:val="24"/>
                <w:szCs w:val="24"/>
              </w:rPr>
            </w:pPr>
            <w:r>
              <w:rPr>
                <w:rFonts w:hint="eastAsia" w:ascii="仿宋" w:hAnsi="仿宋" w:eastAsia="仿宋" w:cs="宋体"/>
                <w:color w:val="000000"/>
                <w:sz w:val="24"/>
                <w:szCs w:val="24"/>
              </w:rPr>
              <w:t>程浩</w:t>
            </w:r>
          </w:p>
        </w:tc>
        <w:tc>
          <w:tcPr>
            <w:tcW w:w="2010" w:type="dxa"/>
            <w:tcBorders>
              <w:top w:val="nil"/>
              <w:left w:val="nil"/>
              <w:bottom w:val="single" w:color="auto" w:sz="4" w:space="0"/>
              <w:right w:val="single" w:color="auto" w:sz="4" w:space="0"/>
            </w:tcBorders>
            <w:shd w:val="clear" w:color="auto" w:fill="auto"/>
            <w:vAlign w:val="center"/>
          </w:tcPr>
          <w:p w14:paraId="0D048467">
            <w:pPr>
              <w:jc w:val="center"/>
              <w:rPr>
                <w:rFonts w:ascii="仿宋" w:hAnsi="仿宋" w:eastAsia="仿宋" w:cs="宋体"/>
                <w:color w:val="000000"/>
                <w:sz w:val="24"/>
                <w:szCs w:val="24"/>
              </w:rPr>
            </w:pPr>
            <w:r>
              <w:rPr>
                <w:rFonts w:hint="eastAsia" w:ascii="仿宋" w:hAnsi="仿宋" w:eastAsia="仿宋" w:cs="宋体"/>
                <w:color w:val="000000"/>
                <w:sz w:val="24"/>
                <w:szCs w:val="24"/>
              </w:rPr>
              <w:t>副镇长</w:t>
            </w:r>
          </w:p>
        </w:tc>
        <w:tc>
          <w:tcPr>
            <w:tcW w:w="2070" w:type="dxa"/>
            <w:tcBorders>
              <w:top w:val="nil"/>
              <w:left w:val="nil"/>
              <w:bottom w:val="single" w:color="auto" w:sz="4" w:space="0"/>
              <w:right w:val="single" w:color="auto" w:sz="4" w:space="0"/>
            </w:tcBorders>
            <w:shd w:val="clear" w:color="auto" w:fill="auto"/>
            <w:vAlign w:val="center"/>
          </w:tcPr>
          <w:p w14:paraId="01580909">
            <w:pPr>
              <w:jc w:val="center"/>
              <w:rPr>
                <w:rFonts w:ascii="仿宋" w:hAnsi="仿宋" w:eastAsia="仿宋" w:cs="宋体"/>
                <w:color w:val="000000"/>
                <w:sz w:val="24"/>
                <w:szCs w:val="24"/>
              </w:rPr>
            </w:pPr>
            <w:r>
              <w:rPr>
                <w:rFonts w:hint="eastAsia" w:ascii="仿宋" w:hAnsi="仿宋" w:eastAsia="仿宋" w:cs="宋体"/>
                <w:color w:val="000000"/>
                <w:sz w:val="24"/>
                <w:szCs w:val="24"/>
              </w:rPr>
              <w:t>17356158185</w:t>
            </w:r>
          </w:p>
        </w:tc>
      </w:tr>
      <w:tr w14:paraId="417E0DA9">
        <w:tblPrEx>
          <w:tblCellMar>
            <w:top w:w="0" w:type="dxa"/>
            <w:left w:w="108" w:type="dxa"/>
            <w:bottom w:w="0" w:type="dxa"/>
            <w:right w:w="108" w:type="dxa"/>
          </w:tblCellMar>
        </w:tblPrEx>
        <w:trPr>
          <w:trHeight w:val="315" w:hRule="atLeast"/>
        </w:trPr>
        <w:tc>
          <w:tcPr>
            <w:tcW w:w="866" w:type="dxa"/>
            <w:tcBorders>
              <w:top w:val="nil"/>
              <w:left w:val="single" w:color="auto" w:sz="4" w:space="0"/>
              <w:bottom w:val="single" w:color="auto" w:sz="4" w:space="0"/>
              <w:right w:val="single" w:color="auto" w:sz="4" w:space="0"/>
            </w:tcBorders>
            <w:shd w:val="clear" w:color="auto" w:fill="auto"/>
            <w:vAlign w:val="center"/>
          </w:tcPr>
          <w:p w14:paraId="49DE11E7">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25</w:t>
            </w:r>
          </w:p>
        </w:tc>
        <w:tc>
          <w:tcPr>
            <w:tcW w:w="2739" w:type="dxa"/>
            <w:tcBorders>
              <w:top w:val="nil"/>
              <w:left w:val="nil"/>
              <w:bottom w:val="single" w:color="auto" w:sz="4" w:space="0"/>
              <w:right w:val="single" w:color="auto" w:sz="4" w:space="0"/>
            </w:tcBorders>
            <w:shd w:val="clear" w:color="auto" w:fill="auto"/>
            <w:vAlign w:val="center"/>
          </w:tcPr>
          <w:p w14:paraId="6761AC0F">
            <w:pPr>
              <w:jc w:val="center"/>
              <w:rPr>
                <w:rFonts w:ascii="仿宋" w:hAnsi="仿宋" w:eastAsia="仿宋" w:cs="宋体"/>
                <w:color w:val="000000"/>
                <w:sz w:val="24"/>
                <w:szCs w:val="24"/>
              </w:rPr>
            </w:pPr>
            <w:r>
              <w:rPr>
                <w:rFonts w:hint="eastAsia" w:ascii="仿宋" w:hAnsi="仿宋" w:eastAsia="仿宋" w:cs="宋体"/>
                <w:color w:val="000000"/>
                <w:sz w:val="24"/>
                <w:szCs w:val="24"/>
              </w:rPr>
              <w:t>杨庄街道办事处</w:t>
            </w:r>
          </w:p>
        </w:tc>
        <w:tc>
          <w:tcPr>
            <w:tcW w:w="1350" w:type="dxa"/>
            <w:tcBorders>
              <w:top w:val="nil"/>
              <w:left w:val="nil"/>
              <w:bottom w:val="single" w:color="auto" w:sz="4" w:space="0"/>
              <w:right w:val="single" w:color="auto" w:sz="4" w:space="0"/>
            </w:tcBorders>
            <w:shd w:val="clear" w:color="auto" w:fill="auto"/>
            <w:vAlign w:val="center"/>
          </w:tcPr>
          <w:p w14:paraId="2912BB94">
            <w:pPr>
              <w:jc w:val="center"/>
              <w:rPr>
                <w:rFonts w:ascii="仿宋" w:hAnsi="仿宋" w:eastAsia="仿宋" w:cs="宋体"/>
                <w:color w:val="000000"/>
                <w:sz w:val="24"/>
                <w:szCs w:val="24"/>
              </w:rPr>
            </w:pPr>
            <w:r>
              <w:rPr>
                <w:rFonts w:hint="eastAsia" w:ascii="仿宋" w:hAnsi="仿宋" w:eastAsia="仿宋" w:cs="宋体"/>
                <w:color w:val="000000"/>
                <w:sz w:val="24"/>
                <w:szCs w:val="24"/>
              </w:rPr>
              <w:t>吕文峰</w:t>
            </w:r>
          </w:p>
        </w:tc>
        <w:tc>
          <w:tcPr>
            <w:tcW w:w="2010" w:type="dxa"/>
            <w:tcBorders>
              <w:top w:val="nil"/>
              <w:left w:val="nil"/>
              <w:bottom w:val="single" w:color="auto" w:sz="4" w:space="0"/>
              <w:right w:val="single" w:color="auto" w:sz="4" w:space="0"/>
            </w:tcBorders>
            <w:shd w:val="clear" w:color="auto" w:fill="auto"/>
            <w:vAlign w:val="center"/>
          </w:tcPr>
          <w:p w14:paraId="4EB2E778">
            <w:pPr>
              <w:jc w:val="center"/>
              <w:rPr>
                <w:rFonts w:ascii="仿宋" w:hAnsi="仿宋" w:eastAsia="仿宋" w:cs="宋体"/>
                <w:color w:val="000000"/>
                <w:sz w:val="24"/>
                <w:szCs w:val="24"/>
              </w:rPr>
            </w:pPr>
            <w:r>
              <w:rPr>
                <w:rFonts w:hint="eastAsia" w:ascii="仿宋" w:hAnsi="仿宋" w:eastAsia="仿宋" w:cs="宋体"/>
                <w:color w:val="000000"/>
                <w:sz w:val="24"/>
                <w:szCs w:val="24"/>
              </w:rPr>
              <w:t>党工委书记</w:t>
            </w:r>
          </w:p>
        </w:tc>
        <w:tc>
          <w:tcPr>
            <w:tcW w:w="2070" w:type="dxa"/>
            <w:tcBorders>
              <w:top w:val="nil"/>
              <w:left w:val="nil"/>
              <w:bottom w:val="single" w:color="auto" w:sz="4" w:space="0"/>
              <w:right w:val="single" w:color="auto" w:sz="4" w:space="0"/>
            </w:tcBorders>
            <w:shd w:val="clear" w:color="auto" w:fill="auto"/>
            <w:vAlign w:val="center"/>
          </w:tcPr>
          <w:p w14:paraId="4066C41B">
            <w:pPr>
              <w:jc w:val="center"/>
              <w:rPr>
                <w:rFonts w:ascii="仿宋" w:hAnsi="仿宋" w:eastAsia="仿宋" w:cs="宋体"/>
                <w:color w:val="000000"/>
                <w:sz w:val="24"/>
                <w:szCs w:val="24"/>
              </w:rPr>
            </w:pPr>
            <w:r>
              <w:rPr>
                <w:rFonts w:hint="eastAsia" w:ascii="仿宋" w:hAnsi="仿宋" w:eastAsia="仿宋" w:cs="宋体"/>
                <w:color w:val="000000"/>
                <w:sz w:val="24"/>
                <w:szCs w:val="24"/>
              </w:rPr>
              <w:t>13905614980</w:t>
            </w:r>
          </w:p>
        </w:tc>
      </w:tr>
    </w:tbl>
    <w:p w14:paraId="2762E610">
      <w:pPr>
        <w:rPr>
          <w:rFonts w:ascii="仿宋_GB2312" w:hAnsi="仿宋" w:eastAsia="仿宋_GB2312" w:cs="仿宋"/>
          <w:color w:val="333333"/>
          <w:sz w:val="32"/>
          <w:szCs w:val="32"/>
          <w:shd w:val="clear" w:color="auto" w:fill="FFFFFF"/>
        </w:rPr>
      </w:pPr>
    </w:p>
    <w:sectPr>
      <w:footerReference r:id="rId3" w:type="default"/>
      <w:pgSz w:w="11905" w:h="16837"/>
      <w:pgMar w:top="1440" w:right="1440" w:bottom="1440" w:left="144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2DB048A-1E7F-4613-BC2E-EB46209F7F2F}"/>
  </w:font>
  <w:font w:name="黑体">
    <w:panose1 w:val="02010609060101010101"/>
    <w:charset w:val="86"/>
    <w:family w:val="auto"/>
    <w:pitch w:val="default"/>
    <w:sig w:usb0="800002BF" w:usb1="38CF7CFA" w:usb2="00000016" w:usb3="00000000" w:csb0="00040001" w:csb1="00000000"/>
    <w:embedRegular r:id="rId2" w:fontKey="{FA673CC8-AC8B-4D5E-9F2E-CEEFAC19F1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embedRegular r:id="rId3" w:fontKey="{E49A74C5-4685-4C1B-B7E0-114BDF73B303}"/>
  </w:font>
  <w:font w:name="仿宋_GB2312">
    <w:panose1 w:val="02010609030101010101"/>
    <w:charset w:val="86"/>
    <w:family w:val="modern"/>
    <w:pitch w:val="default"/>
    <w:sig w:usb0="00000001" w:usb1="080E0000" w:usb2="00000000" w:usb3="00000000" w:csb0="00040000" w:csb1="00000000"/>
    <w:embedRegular r:id="rId4" w:fontKey="{D396750D-7174-4170-9525-9F7D743F2EC7}"/>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embedRegular r:id="rId5" w:fontKey="{EE7F94DE-E9D4-41BD-82E2-3230FFC830EF}"/>
  </w:font>
  <w:font w:name="方正黑体简体">
    <w:altName w:val="微软雅黑"/>
    <w:panose1 w:val="00000000000000000000"/>
    <w:charset w:val="86"/>
    <w:family w:val="auto"/>
    <w:pitch w:val="default"/>
    <w:sig w:usb0="00000000" w:usb1="00000000" w:usb2="00000000" w:usb3="00000000" w:csb0="00040000" w:csb1="00000000"/>
    <w:embedRegular r:id="rId6" w:fontKey="{8938F70A-1135-40BD-BD3F-0AE7CF88835A}"/>
  </w:font>
  <w:font w:name="Helvetica">
    <w:altName w:val="Arial"/>
    <w:panose1 w:val="00000000000000000000"/>
    <w:charset w:val="00"/>
    <w:family w:val="auto"/>
    <w:pitch w:val="default"/>
    <w:sig w:usb0="00000000" w:usb1="00000000" w:usb2="00000000" w:usb3="00000000" w:csb0="2000019F" w:csb1="4F010000"/>
    <w:embedRegular r:id="rId7" w:fontKey="{494CCB76-F5C2-484E-8DD3-304461A22501}"/>
  </w:font>
  <w:font w:name="仿宋">
    <w:panose1 w:val="02010609060101010101"/>
    <w:charset w:val="86"/>
    <w:family w:val="modern"/>
    <w:pitch w:val="default"/>
    <w:sig w:usb0="800002BF" w:usb1="38CF7CFA" w:usb2="00000016" w:usb3="00000000" w:csb0="00040001" w:csb1="00000000"/>
    <w:embedRegular r:id="rId8" w:fontKey="{4704BA37-0E09-491D-BDAA-24BA29DE9E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51AB">
    <w:pPr>
      <w:pStyle w:val="9"/>
      <w:jc w:val="center"/>
      <w:rPr>
        <w:rFonts w:ascii="楷体" w:hAnsi="楷体" w:eastAsia="楷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86F07">
                          <w:pPr>
                            <w:pStyle w:val="9"/>
                            <w:jc w:val="center"/>
                          </w:pPr>
                          <w:r>
                            <w:rPr>
                              <w:rFonts w:hint="eastAsia" w:ascii="楷体" w:hAnsi="楷体" w:eastAsia="楷体"/>
                              <w:sz w:val="28"/>
                              <w:szCs w:val="28"/>
                            </w:rPr>
                            <w:fldChar w:fldCharType="begin"/>
                          </w:r>
                          <w:r>
                            <w:rPr>
                              <w:rFonts w:hint="eastAsia" w:ascii="楷体" w:hAnsi="楷体" w:eastAsia="楷体"/>
                              <w:sz w:val="28"/>
                              <w:szCs w:val="28"/>
                            </w:rPr>
                            <w:instrText xml:space="preserve"> PAGE   \* MERGEFORMAT </w:instrText>
                          </w:r>
                          <w:r>
                            <w:rPr>
                              <w:rFonts w:hint="eastAsia" w:ascii="楷体" w:hAnsi="楷体" w:eastAsia="楷体"/>
                              <w:sz w:val="28"/>
                              <w:szCs w:val="28"/>
                            </w:rPr>
                            <w:fldChar w:fldCharType="separate"/>
                          </w:r>
                          <w:r>
                            <w:rPr>
                              <w:rFonts w:ascii="楷体" w:hAnsi="楷体" w:eastAsia="楷体"/>
                              <w:sz w:val="28"/>
                              <w:szCs w:val="28"/>
                              <w:lang w:val="zh-CN"/>
                            </w:rPr>
                            <w:t>-</w:t>
                          </w:r>
                          <w:r>
                            <w:rPr>
                              <w:rFonts w:ascii="楷体" w:hAnsi="楷体" w:eastAsia="楷体"/>
                              <w:sz w:val="28"/>
                              <w:szCs w:val="28"/>
                            </w:rPr>
                            <w:t xml:space="preserve"> 1 -</w:t>
                          </w:r>
                          <w:r>
                            <w:rPr>
                              <w:rFonts w:hint="eastAsia" w:ascii="楷体" w:hAnsi="楷体" w:eastAsia="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D86F07">
                    <w:pPr>
                      <w:pStyle w:val="9"/>
                      <w:jc w:val="center"/>
                    </w:pPr>
                    <w:r>
                      <w:rPr>
                        <w:rFonts w:hint="eastAsia" w:ascii="楷体" w:hAnsi="楷体" w:eastAsia="楷体"/>
                        <w:sz w:val="28"/>
                        <w:szCs w:val="28"/>
                      </w:rPr>
                      <w:fldChar w:fldCharType="begin"/>
                    </w:r>
                    <w:r>
                      <w:rPr>
                        <w:rFonts w:hint="eastAsia" w:ascii="楷体" w:hAnsi="楷体" w:eastAsia="楷体"/>
                        <w:sz w:val="28"/>
                        <w:szCs w:val="28"/>
                      </w:rPr>
                      <w:instrText xml:space="preserve"> PAGE   \* MERGEFORMAT </w:instrText>
                    </w:r>
                    <w:r>
                      <w:rPr>
                        <w:rFonts w:hint="eastAsia" w:ascii="楷体" w:hAnsi="楷体" w:eastAsia="楷体"/>
                        <w:sz w:val="28"/>
                        <w:szCs w:val="28"/>
                      </w:rPr>
                      <w:fldChar w:fldCharType="separate"/>
                    </w:r>
                    <w:r>
                      <w:rPr>
                        <w:rFonts w:ascii="楷体" w:hAnsi="楷体" w:eastAsia="楷体"/>
                        <w:sz w:val="28"/>
                        <w:szCs w:val="28"/>
                        <w:lang w:val="zh-CN"/>
                      </w:rPr>
                      <w:t>-</w:t>
                    </w:r>
                    <w:r>
                      <w:rPr>
                        <w:rFonts w:ascii="楷体" w:hAnsi="楷体" w:eastAsia="楷体"/>
                        <w:sz w:val="28"/>
                        <w:szCs w:val="28"/>
                      </w:rPr>
                      <w:t xml:space="preserve"> 1 -</w:t>
                    </w:r>
                    <w:r>
                      <w:rPr>
                        <w:rFonts w:hint="eastAsia" w:ascii="楷体" w:hAnsi="楷体" w:eastAsia="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MGM4YmJhY2U4YjI2NThiNDYyYTEwYjEzOWZhZTAifQ=="/>
  </w:docVars>
  <w:rsids>
    <w:rsidRoot w:val="00C857DA"/>
    <w:rsid w:val="00040E5A"/>
    <w:rsid w:val="00047DAC"/>
    <w:rsid w:val="000C7EF9"/>
    <w:rsid w:val="000E0135"/>
    <w:rsid w:val="000F22F0"/>
    <w:rsid w:val="00107BD7"/>
    <w:rsid w:val="0017158E"/>
    <w:rsid w:val="001C09AA"/>
    <w:rsid w:val="001E2EB1"/>
    <w:rsid w:val="001E7135"/>
    <w:rsid w:val="0021238D"/>
    <w:rsid w:val="00292A9F"/>
    <w:rsid w:val="002B7215"/>
    <w:rsid w:val="002D220F"/>
    <w:rsid w:val="00325344"/>
    <w:rsid w:val="00385627"/>
    <w:rsid w:val="003A2C5D"/>
    <w:rsid w:val="003F032D"/>
    <w:rsid w:val="00400628"/>
    <w:rsid w:val="00426B62"/>
    <w:rsid w:val="004E2A78"/>
    <w:rsid w:val="004F1C30"/>
    <w:rsid w:val="00510DC9"/>
    <w:rsid w:val="00571F61"/>
    <w:rsid w:val="00586FFD"/>
    <w:rsid w:val="005A6D50"/>
    <w:rsid w:val="005D4C1A"/>
    <w:rsid w:val="005E73AC"/>
    <w:rsid w:val="00645C7A"/>
    <w:rsid w:val="00667AF9"/>
    <w:rsid w:val="006754CF"/>
    <w:rsid w:val="006903EB"/>
    <w:rsid w:val="00710D03"/>
    <w:rsid w:val="007313CF"/>
    <w:rsid w:val="00762E14"/>
    <w:rsid w:val="00770990"/>
    <w:rsid w:val="00785288"/>
    <w:rsid w:val="007D18CE"/>
    <w:rsid w:val="00800352"/>
    <w:rsid w:val="00812E3B"/>
    <w:rsid w:val="0084443B"/>
    <w:rsid w:val="0087739B"/>
    <w:rsid w:val="008C5C69"/>
    <w:rsid w:val="008D2CDA"/>
    <w:rsid w:val="008E3C78"/>
    <w:rsid w:val="0093182B"/>
    <w:rsid w:val="00944480"/>
    <w:rsid w:val="009655E0"/>
    <w:rsid w:val="00987251"/>
    <w:rsid w:val="009D7AEF"/>
    <w:rsid w:val="009F2320"/>
    <w:rsid w:val="009F41B5"/>
    <w:rsid w:val="00A05A78"/>
    <w:rsid w:val="00A73E6C"/>
    <w:rsid w:val="00AA1B33"/>
    <w:rsid w:val="00AA47CA"/>
    <w:rsid w:val="00AA61C9"/>
    <w:rsid w:val="00AC4233"/>
    <w:rsid w:val="00AC5795"/>
    <w:rsid w:val="00AF6DD9"/>
    <w:rsid w:val="00B107B3"/>
    <w:rsid w:val="00B54B33"/>
    <w:rsid w:val="00B8400A"/>
    <w:rsid w:val="00B87CDC"/>
    <w:rsid w:val="00B94A5D"/>
    <w:rsid w:val="00C102C8"/>
    <w:rsid w:val="00C234CA"/>
    <w:rsid w:val="00C560D5"/>
    <w:rsid w:val="00C63674"/>
    <w:rsid w:val="00C66E18"/>
    <w:rsid w:val="00C8473B"/>
    <w:rsid w:val="00C85157"/>
    <w:rsid w:val="00C857DA"/>
    <w:rsid w:val="00C9608E"/>
    <w:rsid w:val="00CC177E"/>
    <w:rsid w:val="00D465B1"/>
    <w:rsid w:val="00D53722"/>
    <w:rsid w:val="00DB12AB"/>
    <w:rsid w:val="00DD69B8"/>
    <w:rsid w:val="00DF3D31"/>
    <w:rsid w:val="00E04041"/>
    <w:rsid w:val="00E261FB"/>
    <w:rsid w:val="00E64B97"/>
    <w:rsid w:val="00EA3973"/>
    <w:rsid w:val="00EB5DEC"/>
    <w:rsid w:val="00EC43D2"/>
    <w:rsid w:val="00F13739"/>
    <w:rsid w:val="00F24000"/>
    <w:rsid w:val="00F577CF"/>
    <w:rsid w:val="00F712FF"/>
    <w:rsid w:val="00FA1D8B"/>
    <w:rsid w:val="03DE1667"/>
    <w:rsid w:val="03E24E24"/>
    <w:rsid w:val="07FD6B85"/>
    <w:rsid w:val="0DDA3EE9"/>
    <w:rsid w:val="129C79EE"/>
    <w:rsid w:val="1D880290"/>
    <w:rsid w:val="1F497796"/>
    <w:rsid w:val="22925B19"/>
    <w:rsid w:val="255C3A1C"/>
    <w:rsid w:val="256C04D0"/>
    <w:rsid w:val="265873BF"/>
    <w:rsid w:val="30276DCE"/>
    <w:rsid w:val="32C4233D"/>
    <w:rsid w:val="35230C9A"/>
    <w:rsid w:val="369E0810"/>
    <w:rsid w:val="38376B74"/>
    <w:rsid w:val="3DB25DA0"/>
    <w:rsid w:val="406C1596"/>
    <w:rsid w:val="4E6968B7"/>
    <w:rsid w:val="58E412E5"/>
    <w:rsid w:val="6133212E"/>
    <w:rsid w:val="66DA06C3"/>
    <w:rsid w:val="68365C9F"/>
    <w:rsid w:val="6B703234"/>
    <w:rsid w:val="71CD5093"/>
    <w:rsid w:val="79BD5C98"/>
    <w:rsid w:val="7FFE3B66"/>
    <w:rsid w:val="BFFFAC57"/>
    <w:rsid w:val="FADC8E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Arial" w:hAnsi="Arial" w:eastAsia="Arial" w:cs="Arial"/>
      <w:lang w:val="en-US" w:eastAsia="zh-CN" w:bidi="ar-SA"/>
    </w:rPr>
  </w:style>
  <w:style w:type="paragraph" w:styleId="3">
    <w:name w:val="heading 1"/>
    <w:basedOn w:val="1"/>
    <w:next w:val="1"/>
    <w:link w:val="22"/>
    <w:qFormat/>
    <w:uiPriority w:val="9"/>
    <w:pPr>
      <w:keepNext/>
      <w:keepLines/>
      <w:widowControl w:val="0"/>
      <w:spacing w:after="120" w:line="560" w:lineRule="exact"/>
      <w:ind w:firstLine="200" w:firstLineChars="200"/>
      <w:outlineLvl w:val="0"/>
    </w:pPr>
    <w:rPr>
      <w:rFonts w:ascii="黑体" w:hAnsi="黑体" w:eastAsia="黑体" w:cs="Times New Roman"/>
      <w:bCs/>
      <w:kern w:val="44"/>
      <w:sz w:val="32"/>
      <w:szCs w:val="44"/>
    </w:rPr>
  </w:style>
  <w:style w:type="paragraph" w:styleId="4">
    <w:name w:val="heading 2"/>
    <w:basedOn w:val="1"/>
    <w:next w:val="1"/>
    <w:link w:val="23"/>
    <w:qFormat/>
    <w:uiPriority w:val="9"/>
    <w:pPr>
      <w:keepNext/>
      <w:keepLines/>
      <w:widowControl w:val="0"/>
      <w:spacing w:line="560" w:lineRule="exact"/>
      <w:ind w:firstLine="200" w:firstLineChars="200"/>
      <w:outlineLvl w:val="1"/>
    </w:pPr>
    <w:rPr>
      <w:rFonts w:ascii="楷体" w:hAnsi="楷体" w:eastAsia="楷体" w:cs="Times New Roman"/>
      <w:b/>
      <w:bCs/>
      <w:kern w:val="2"/>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Normal Indent"/>
    <w:basedOn w:val="1"/>
    <w:qFormat/>
    <w:uiPriority w:val="0"/>
    <w:pPr>
      <w:widowControl w:val="0"/>
      <w:spacing w:line="58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6">
    <w:name w:val="Document Map"/>
    <w:basedOn w:val="1"/>
    <w:link w:val="26"/>
    <w:qFormat/>
    <w:uiPriority w:val="0"/>
    <w:rPr>
      <w:rFonts w:ascii="宋体" w:eastAsia="宋体"/>
      <w:sz w:val="18"/>
      <w:szCs w:val="18"/>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link w:val="24"/>
    <w:qFormat/>
    <w:uiPriority w:val="0"/>
    <w:pPr>
      <w:spacing w:after="120"/>
      <w:ind w:left="420" w:leftChars="200"/>
    </w:pPr>
  </w:style>
  <w:style w:type="paragraph" w:styleId="9">
    <w:name w:val="footer"/>
    <w:basedOn w:val="1"/>
    <w:link w:val="21"/>
    <w:qFormat/>
    <w:uiPriority w:val="0"/>
    <w:pPr>
      <w:tabs>
        <w:tab w:val="center" w:pos="4153"/>
        <w:tab w:val="right" w:pos="8306"/>
      </w:tabs>
      <w:snapToGrid w:val="0"/>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015"/>
      </w:tabs>
      <w:jc w:val="center"/>
    </w:pPr>
  </w:style>
  <w:style w:type="paragraph" w:styleId="12">
    <w:name w:val="toc 2"/>
    <w:basedOn w:val="1"/>
    <w:next w:val="1"/>
    <w:qFormat/>
    <w:uiPriority w:val="39"/>
    <w:pPr>
      <w:ind w:left="420" w:leftChars="200"/>
    </w:pPr>
  </w:style>
  <w:style w:type="paragraph" w:styleId="13">
    <w:name w:val="Normal (Web)"/>
    <w:basedOn w:val="1"/>
    <w:qFormat/>
    <w:uiPriority w:val="0"/>
    <w:pPr>
      <w:spacing w:before="100" w:beforeAutospacing="1" w:after="100" w:afterAutospacing="1"/>
    </w:pPr>
    <w:rPr>
      <w:sz w:val="24"/>
    </w:rPr>
  </w:style>
  <w:style w:type="paragraph" w:styleId="14">
    <w:name w:val="Body Text First Indent 2"/>
    <w:basedOn w:val="8"/>
    <w:link w:val="25"/>
    <w:unhideWhenUsed/>
    <w:qFormat/>
    <w:uiPriority w:val="0"/>
    <w:pPr>
      <w:widowControl w:val="0"/>
      <w:ind w:firstLine="420" w:firstLineChars="200"/>
      <w:jc w:val="both"/>
    </w:pPr>
    <w:rPr>
      <w:rFonts w:ascii="仿宋_GB2312" w:hAnsi="微软雅黑" w:eastAsia="仿宋_GB2312" w:cs="华文中宋"/>
      <w:kern w:val="2"/>
      <w:sz w:val="21"/>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footnote reference"/>
    <w:semiHidden/>
    <w:unhideWhenUsed/>
    <w:qFormat/>
    <w:uiPriority w:val="0"/>
    <w:rPr>
      <w:vertAlign w:val="superscript"/>
    </w:rPr>
  </w:style>
  <w:style w:type="paragraph" w:customStyle="1" w:styleId="19">
    <w:name w:val="BlockQuote"/>
    <w:basedOn w:val="1"/>
    <w:qFormat/>
    <w:uiPriority w:val="0"/>
    <w:pPr>
      <w:snapToGrid w:val="0"/>
      <w:spacing w:line="408" w:lineRule="auto"/>
      <w:ind w:left="-113" w:right="-510" w:firstLine="510"/>
    </w:pPr>
    <w:rPr>
      <w:sz w:val="24"/>
      <w:szCs w:val="20"/>
    </w:rPr>
  </w:style>
  <w:style w:type="character" w:customStyle="1" w:styleId="20">
    <w:name w:val="页眉 字符"/>
    <w:basedOn w:val="16"/>
    <w:link w:val="10"/>
    <w:qFormat/>
    <w:uiPriority w:val="0"/>
    <w:rPr>
      <w:rFonts w:ascii="Arial" w:hAnsi="Arial" w:eastAsia="Arial" w:cs="Arial"/>
      <w:sz w:val="18"/>
      <w:szCs w:val="18"/>
    </w:rPr>
  </w:style>
  <w:style w:type="character" w:customStyle="1" w:styleId="21">
    <w:name w:val="页脚 字符"/>
    <w:basedOn w:val="16"/>
    <w:link w:val="9"/>
    <w:qFormat/>
    <w:uiPriority w:val="0"/>
    <w:rPr>
      <w:rFonts w:ascii="Arial" w:hAnsi="Arial" w:eastAsia="Arial" w:cs="Arial"/>
      <w:sz w:val="18"/>
      <w:szCs w:val="18"/>
    </w:rPr>
  </w:style>
  <w:style w:type="character" w:customStyle="1" w:styleId="22">
    <w:name w:val="标题 1 字符"/>
    <w:basedOn w:val="16"/>
    <w:link w:val="3"/>
    <w:qFormat/>
    <w:uiPriority w:val="9"/>
    <w:rPr>
      <w:rFonts w:ascii="黑体" w:hAnsi="黑体" w:eastAsia="黑体"/>
      <w:bCs/>
      <w:kern w:val="44"/>
      <w:sz w:val="32"/>
      <w:szCs w:val="44"/>
    </w:rPr>
  </w:style>
  <w:style w:type="character" w:customStyle="1" w:styleId="23">
    <w:name w:val="标题 2 字符"/>
    <w:basedOn w:val="16"/>
    <w:link w:val="4"/>
    <w:qFormat/>
    <w:uiPriority w:val="9"/>
    <w:rPr>
      <w:rFonts w:ascii="楷体" w:hAnsi="楷体" w:eastAsia="楷体"/>
      <w:b/>
      <w:bCs/>
      <w:kern w:val="2"/>
      <w:sz w:val="32"/>
      <w:szCs w:val="32"/>
    </w:rPr>
  </w:style>
  <w:style w:type="character" w:customStyle="1" w:styleId="24">
    <w:name w:val="正文文本缩进 字符"/>
    <w:basedOn w:val="16"/>
    <w:link w:val="8"/>
    <w:qFormat/>
    <w:uiPriority w:val="0"/>
    <w:rPr>
      <w:rFonts w:ascii="Arial" w:hAnsi="Arial" w:eastAsia="Arial" w:cs="Arial"/>
    </w:rPr>
  </w:style>
  <w:style w:type="character" w:customStyle="1" w:styleId="25">
    <w:name w:val="正文文本首行缩进 2 字符"/>
    <w:basedOn w:val="24"/>
    <w:link w:val="14"/>
    <w:qFormat/>
    <w:uiPriority w:val="0"/>
    <w:rPr>
      <w:rFonts w:ascii="仿宋_GB2312" w:hAnsi="微软雅黑" w:eastAsia="仿宋_GB2312" w:cs="华文中宋"/>
      <w:kern w:val="2"/>
      <w:sz w:val="21"/>
    </w:rPr>
  </w:style>
  <w:style w:type="character" w:customStyle="1" w:styleId="26">
    <w:name w:val="文档结构图 字符"/>
    <w:basedOn w:val="16"/>
    <w:link w:val="6"/>
    <w:qFormat/>
    <w:uiPriority w:val="0"/>
    <w:rPr>
      <w:rFonts w:ascii="宋体" w:hAnsi="Arial" w:eastAsia="宋体" w:cs="Arial"/>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16919</Words>
  <Characters>17353</Characters>
  <Lines>141</Lines>
  <Paragraphs>39</Paragraphs>
  <TotalTime>1</TotalTime>
  <ScaleCrop>false</ScaleCrop>
  <LinksUpToDate>false</LinksUpToDate>
  <CharactersWithSpaces>17466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2022-08-05T18:20:00Z</dcterms:created>
  <dc:creator>天气好嘛我好嘛</dc:creator>
  <cp:lastModifiedBy>简</cp:lastModifiedBy>
  <cp:lastPrinted>2022-07-01T18:22:00Z</cp:lastPrinted>
  <dcterms:modified xsi:type="dcterms:W3CDTF">2026-02-28T09:39:00Z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A9957A50B563489DBBD96BBCA1969211_13</vt:lpwstr>
  </property>
  <property fmtid="{D5CDD505-2E9C-101B-9397-08002B2CF9AE}" pid="4" name="KSOTemplateDocerSaveRecord">
    <vt:lpwstr>eyJoZGlkIjoiNmJiOTQ4ZWJkN2NjZTEwOWU2MzY4ZWFjMWFlNzg1YTgiLCJ1c2VySWQiOiI0MzcxMTM2NzcifQ==</vt:lpwstr>
  </property>
</Properties>
</file>