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A0" w:rsidRDefault="00F06EA0" w:rsidP="00F06EA0">
      <w:pPr>
        <w:spacing w:line="560" w:lineRule="exact"/>
        <w:jc w:val="center"/>
        <w:rPr>
          <w:rFonts w:ascii="方正小标宋简体" w:eastAsia="方正小标宋简体" w:hAnsi="方正小标宋简体" w:cs="仿宋_GB2312"/>
          <w:sz w:val="44"/>
          <w:szCs w:val="44"/>
        </w:rPr>
      </w:pPr>
      <w:r w:rsidRPr="00F06EA0">
        <w:rPr>
          <w:rFonts w:ascii="方正小标宋简体" w:eastAsia="方正小标宋简体" w:hAnsi="方正小标宋简体" w:cs="仿宋_GB2312" w:hint="eastAsia"/>
          <w:sz w:val="44"/>
          <w:szCs w:val="44"/>
        </w:rPr>
        <w:t>《</w:t>
      </w:r>
      <w:r w:rsidR="00E804AA" w:rsidRPr="00E804AA">
        <w:rPr>
          <w:rFonts w:ascii="方正小标宋简体" w:eastAsia="方正小标宋简体" w:hAnsi="方正小标宋简体" w:cs="仿宋_GB2312" w:hint="eastAsia"/>
          <w:sz w:val="44"/>
          <w:szCs w:val="44"/>
        </w:rPr>
        <w:t>关于淮北源淮实业有限公司公开遴选基金管理人的公告</w:t>
      </w:r>
      <w:r w:rsidRPr="00F06EA0">
        <w:rPr>
          <w:rFonts w:ascii="方正小标宋简体" w:eastAsia="方正小标宋简体" w:hAnsi="方正小标宋简体" w:cs="仿宋_GB2312" w:hint="eastAsia"/>
          <w:sz w:val="44"/>
          <w:szCs w:val="44"/>
        </w:rPr>
        <w:t>》</w:t>
      </w:r>
      <w:r w:rsidR="008D1F3E" w:rsidRPr="00F06EA0">
        <w:rPr>
          <w:rFonts w:ascii="方正小标宋简体" w:eastAsia="方正小标宋简体" w:hAnsi="方正小标宋简体" w:cs="仿宋_GB2312" w:hint="eastAsia"/>
          <w:sz w:val="44"/>
          <w:szCs w:val="44"/>
        </w:rPr>
        <w:t>（送审稿）</w:t>
      </w:r>
    </w:p>
    <w:p w:rsidR="00F06EA0" w:rsidRPr="00F06EA0" w:rsidRDefault="00F06EA0" w:rsidP="00F06EA0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06EA0">
        <w:rPr>
          <w:rFonts w:ascii="方正小标宋简体" w:eastAsia="方正小标宋简体" w:hAnsi="方正小标宋简体" w:hint="eastAsia"/>
          <w:sz w:val="44"/>
          <w:szCs w:val="44"/>
        </w:rPr>
        <w:t>起草说明</w:t>
      </w:r>
    </w:p>
    <w:p w:rsidR="00143AF3" w:rsidRPr="00C36EC2" w:rsidRDefault="00C36EC2" w:rsidP="00C36EC2">
      <w:pPr>
        <w:pStyle w:val="a3"/>
        <w:spacing w:line="580" w:lineRule="exact"/>
        <w:ind w:left="640" w:firstLineChars="0" w:firstLine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一、</w:t>
      </w:r>
      <w:r w:rsidR="00143AF3" w:rsidRPr="00C36EC2">
        <w:rPr>
          <w:rFonts w:ascii="Times New Roman" w:eastAsia="黑体" w:hAnsi="Times New Roman" w:hint="eastAsia"/>
          <w:bCs/>
          <w:sz w:val="32"/>
          <w:szCs w:val="32"/>
        </w:rPr>
        <w:t>起草背景</w:t>
      </w:r>
    </w:p>
    <w:p w:rsidR="006A3F65" w:rsidRDefault="006A3F65" w:rsidP="006A3F65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近年来，各级地方政府或企业纷纷设立产业投资发展基金（以下简称基金），通过借助资本的力量，引入区外优质企业和项目，完善当地的产业链结构，促进传统产业的升级优化，提升经济发展水平。</w:t>
      </w:r>
      <w:r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Times New Roman" w:eastAsia="仿宋_GB2312" w:hAnsi="Times New Roman"/>
          <w:sz w:val="32"/>
          <w:szCs w:val="32"/>
        </w:rPr>
        <w:t>充分发挥淮北市烈山区</w:t>
      </w:r>
      <w:r>
        <w:rPr>
          <w:rFonts w:ascii="Times New Roman" w:eastAsia="仿宋_GB2312" w:hAnsi="Times New Roman" w:hint="eastAsia"/>
          <w:sz w:val="32"/>
          <w:szCs w:val="32"/>
        </w:rPr>
        <w:t>产业投资基金</w:t>
      </w:r>
      <w:r>
        <w:rPr>
          <w:rFonts w:ascii="Times New Roman" w:eastAsia="仿宋_GB2312" w:hAnsi="Times New Roman"/>
          <w:sz w:val="32"/>
          <w:szCs w:val="32"/>
        </w:rPr>
        <w:t>在产业引导、产业培育、产业赋能等方面的作用，助推烈山区经济实现高质量发展目标，拟由</w:t>
      </w:r>
      <w:r>
        <w:rPr>
          <w:rFonts w:ascii="Times New Roman" w:eastAsia="仿宋_GB2312" w:hAnsi="Times New Roman" w:hint="eastAsia"/>
          <w:sz w:val="32"/>
          <w:szCs w:val="32"/>
        </w:rPr>
        <w:t>淮北源淮实业有限公司</w:t>
      </w:r>
      <w:r>
        <w:rPr>
          <w:rFonts w:ascii="Times New Roman" w:eastAsia="仿宋_GB2312" w:hAnsi="Times New Roman"/>
          <w:sz w:val="32"/>
          <w:szCs w:val="32"/>
        </w:rPr>
        <w:t>（以下简称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源淮公司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）成立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支基金，包括1支专项基金（专项投资于四维智能座舱项目）及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支产业基金</w:t>
      </w:r>
      <w:r>
        <w:rPr>
          <w:rFonts w:ascii="Times New Roman" w:eastAsia="仿宋_GB2312" w:hAnsi="Times New Roman" w:hint="eastAsia"/>
          <w:sz w:val="32"/>
          <w:szCs w:val="32"/>
        </w:rPr>
        <w:t>，并公开遴选基金管理人。</w:t>
      </w:r>
    </w:p>
    <w:p w:rsidR="00143AF3" w:rsidRPr="00C36EC2" w:rsidRDefault="00C36EC2" w:rsidP="00C36EC2">
      <w:pPr>
        <w:pStyle w:val="a3"/>
        <w:spacing w:line="580" w:lineRule="exact"/>
        <w:ind w:left="640" w:firstLineChars="0" w:firstLine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二、</w:t>
      </w:r>
      <w:r w:rsidR="00143AF3" w:rsidRPr="00C36EC2">
        <w:rPr>
          <w:rFonts w:ascii="Times New Roman" w:eastAsia="黑体" w:hAnsi="Times New Roman" w:hint="eastAsia"/>
          <w:bCs/>
          <w:sz w:val="32"/>
          <w:szCs w:val="32"/>
        </w:rPr>
        <w:t>起草过程</w:t>
      </w:r>
    </w:p>
    <w:p w:rsidR="00D1271E" w:rsidRPr="006A3F65" w:rsidRDefault="00143AF3" w:rsidP="006A3F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A3F65">
        <w:rPr>
          <w:rFonts w:ascii="仿宋_GB2312" w:eastAsia="仿宋_GB2312" w:hAnsi="仿宋_GB2312" w:cs="仿宋_GB2312" w:hint="eastAsia"/>
          <w:sz w:val="32"/>
          <w:szCs w:val="32"/>
        </w:rPr>
        <w:t>经过</w:t>
      </w:r>
      <w:r w:rsidR="006A3F65">
        <w:rPr>
          <w:rFonts w:ascii="仿宋_GB2312" w:eastAsia="仿宋_GB2312" w:hAnsi="仿宋_GB2312" w:cs="仿宋_GB2312" w:hint="eastAsia"/>
          <w:sz w:val="32"/>
          <w:szCs w:val="32"/>
        </w:rPr>
        <w:t>区</w:t>
      </w:r>
      <w:r w:rsidR="00A87F6C">
        <w:rPr>
          <w:rFonts w:ascii="仿宋_GB2312" w:eastAsia="仿宋_GB2312" w:hAnsi="仿宋_GB2312" w:cs="仿宋_GB2312" w:hint="eastAsia"/>
          <w:sz w:val="32"/>
          <w:szCs w:val="32"/>
        </w:rPr>
        <w:t>领导</w:t>
      </w:r>
      <w:r w:rsidRPr="006A3F65">
        <w:rPr>
          <w:rFonts w:ascii="仿宋_GB2312" w:eastAsia="仿宋_GB2312" w:hAnsi="仿宋_GB2312" w:cs="仿宋_GB2312" w:hint="eastAsia"/>
          <w:sz w:val="32"/>
          <w:szCs w:val="32"/>
        </w:rPr>
        <w:t>多次专题会讨论</w:t>
      </w:r>
      <w:r w:rsidR="006A3F65">
        <w:rPr>
          <w:rFonts w:ascii="仿宋_GB2312" w:eastAsia="仿宋_GB2312" w:hAnsi="仿宋_GB2312" w:cs="仿宋_GB2312" w:hint="eastAsia"/>
          <w:sz w:val="32"/>
          <w:szCs w:val="32"/>
        </w:rPr>
        <w:t>和安排</w:t>
      </w:r>
      <w:r w:rsidRPr="006A3F65">
        <w:rPr>
          <w:rFonts w:ascii="仿宋_GB2312" w:eastAsia="仿宋_GB2312" w:hAnsi="仿宋_GB2312" w:cs="仿宋_GB2312" w:hint="eastAsia"/>
          <w:sz w:val="32"/>
          <w:szCs w:val="32"/>
        </w:rPr>
        <w:t>，该事项已经源淮公司</w:t>
      </w:r>
      <w:r w:rsidR="006A3F65" w:rsidRPr="006A3F65">
        <w:rPr>
          <w:rFonts w:ascii="仿宋_GB2312" w:eastAsia="仿宋_GB2312" w:hAnsi="仿宋_GB2312" w:cs="仿宋_GB2312" w:hint="eastAsia"/>
          <w:sz w:val="32"/>
          <w:szCs w:val="32"/>
        </w:rPr>
        <w:t>支委会和董事会</w:t>
      </w:r>
      <w:r w:rsidRPr="006A3F65">
        <w:rPr>
          <w:rFonts w:ascii="仿宋_GB2312" w:eastAsia="仿宋_GB2312" w:hAnsi="仿宋_GB2312" w:cs="仿宋_GB2312" w:hint="eastAsia"/>
          <w:sz w:val="32"/>
          <w:szCs w:val="32"/>
        </w:rPr>
        <w:t>讨论通过。</w:t>
      </w:r>
      <w:r w:rsidR="00A87F6C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Pr="006A3F65">
        <w:rPr>
          <w:rFonts w:ascii="仿宋_GB2312" w:eastAsia="仿宋_GB2312" w:hAnsi="仿宋_GB2312" w:cs="仿宋_GB2312" w:hint="eastAsia"/>
          <w:sz w:val="32"/>
          <w:szCs w:val="32"/>
        </w:rPr>
        <w:t>征求</w:t>
      </w:r>
      <w:r w:rsidR="006A3F65" w:rsidRPr="006A3F65">
        <w:rPr>
          <w:rFonts w:ascii="仿宋_GB2312" w:eastAsia="仿宋_GB2312" w:hAnsi="仿宋_GB2312" w:cs="仿宋_GB2312" w:hint="eastAsia"/>
          <w:sz w:val="32"/>
          <w:szCs w:val="32"/>
        </w:rPr>
        <w:t>区财政局（国资委）、区审计局、区投促局、区经开区、区科工信局、新正集团</w:t>
      </w:r>
      <w:r w:rsidRPr="006A3F65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6A3F65" w:rsidRPr="006A3F65">
        <w:rPr>
          <w:rFonts w:ascii="仿宋_GB2312" w:eastAsia="仿宋_GB2312" w:hAnsi="仿宋_GB2312" w:cs="仿宋_GB2312"/>
          <w:sz w:val="32"/>
          <w:szCs w:val="32"/>
        </w:rPr>
        <w:t>6</w:t>
      </w:r>
      <w:r w:rsidRPr="006A3F65">
        <w:rPr>
          <w:rFonts w:ascii="仿宋_GB2312" w:eastAsia="仿宋_GB2312" w:hAnsi="仿宋_GB2312" w:cs="仿宋_GB2312" w:hint="eastAsia"/>
          <w:sz w:val="32"/>
          <w:szCs w:val="32"/>
        </w:rPr>
        <w:t>家单位意见</w:t>
      </w:r>
      <w:bookmarkStart w:id="0" w:name="_GoBack"/>
      <w:bookmarkEnd w:id="0"/>
      <w:r w:rsidRPr="006A3F65">
        <w:rPr>
          <w:rFonts w:ascii="仿宋_GB2312" w:eastAsia="仿宋_GB2312" w:hAnsi="仿宋_GB2312" w:cs="仿宋_GB2312" w:hint="eastAsia"/>
          <w:sz w:val="32"/>
          <w:szCs w:val="32"/>
        </w:rPr>
        <w:t>。最终形成《</w:t>
      </w:r>
      <w:r w:rsidR="00E804AA" w:rsidRPr="006A3F65">
        <w:rPr>
          <w:rFonts w:ascii="仿宋_GB2312" w:eastAsia="仿宋_GB2312" w:hAnsi="仿宋_GB2312" w:cs="仿宋_GB2312" w:hint="eastAsia"/>
          <w:sz w:val="32"/>
          <w:szCs w:val="32"/>
        </w:rPr>
        <w:t>关于淮北源淮实业有限公司公开遴选基金管理人的</w:t>
      </w:r>
      <w:r w:rsidR="006A3F65" w:rsidRPr="006A3F65">
        <w:rPr>
          <w:rFonts w:ascii="仿宋_GB2312" w:eastAsia="仿宋_GB2312" w:hAnsi="仿宋_GB2312" w:cs="仿宋_GB2312" w:hint="eastAsia"/>
          <w:sz w:val="32"/>
          <w:szCs w:val="32"/>
        </w:rPr>
        <w:t>的征求意见稿</w:t>
      </w:r>
      <w:r w:rsidRPr="006A3F65">
        <w:rPr>
          <w:rFonts w:ascii="仿宋_GB2312" w:eastAsia="仿宋_GB2312" w:hAnsi="仿宋_GB2312" w:cs="仿宋_GB2312" w:hint="eastAsia"/>
          <w:sz w:val="32"/>
          <w:szCs w:val="32"/>
        </w:rPr>
        <w:t>》。</w:t>
      </w:r>
    </w:p>
    <w:p w:rsidR="006A3F65" w:rsidRDefault="003D5DF9" w:rsidP="006A3F65">
      <w:pPr>
        <w:pStyle w:val="a3"/>
        <w:spacing w:line="580" w:lineRule="exact"/>
        <w:ind w:left="640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三</w:t>
      </w:r>
      <w:r w:rsidR="00143AF3">
        <w:rPr>
          <w:rFonts w:ascii="Times New Roman" w:eastAsia="黑体" w:hAnsi="Times New Roman" w:hint="eastAsia"/>
          <w:bCs/>
          <w:sz w:val="32"/>
          <w:szCs w:val="32"/>
        </w:rPr>
        <w:t>、</w:t>
      </w:r>
      <w:r w:rsidR="006A3F65">
        <w:rPr>
          <w:rFonts w:ascii="黑体" w:eastAsia="黑体" w:hAnsi="黑体" w:cs="黑体"/>
          <w:sz w:val="32"/>
          <w:szCs w:val="32"/>
        </w:rPr>
        <w:t>基金</w:t>
      </w:r>
      <w:r w:rsidR="006A3F65">
        <w:rPr>
          <w:rFonts w:ascii="黑体" w:eastAsia="黑体" w:hAnsi="黑体" w:cs="黑体" w:hint="eastAsia"/>
          <w:sz w:val="32"/>
          <w:szCs w:val="32"/>
        </w:rPr>
        <w:t>情况</w:t>
      </w:r>
    </w:p>
    <w:p w:rsidR="006A3F65" w:rsidRDefault="006A3F65" w:rsidP="006A3F65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（一）专项基金</w:t>
      </w:r>
    </w:p>
    <w:p w:rsidR="006A3F65" w:rsidRDefault="006A3F65" w:rsidP="006A3F65">
      <w:pPr>
        <w:spacing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基金规模：不超过</w:t>
      </w:r>
      <w:r>
        <w:rPr>
          <w:rFonts w:ascii="Times New Roman" w:eastAsia="仿宋_GB2312" w:hAnsi="Times New Roman" w:hint="eastAsia"/>
          <w:sz w:val="32"/>
          <w:szCs w:val="32"/>
        </w:rPr>
        <w:t>2.6</w:t>
      </w:r>
      <w:r>
        <w:rPr>
          <w:rFonts w:ascii="Times New Roman" w:eastAsia="仿宋_GB2312" w:hAnsi="Times New Roman" w:hint="eastAsia"/>
          <w:sz w:val="32"/>
          <w:szCs w:val="32"/>
        </w:rPr>
        <w:t>亿元</w:t>
      </w:r>
      <w:r w:rsidR="00124B09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A3F65" w:rsidRDefault="006A3F65" w:rsidP="006A3F65">
      <w:pPr>
        <w:spacing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出资比例：普通合伙人</w:t>
      </w:r>
      <w:r>
        <w:rPr>
          <w:rFonts w:ascii="Times New Roman" w:eastAsia="仿宋_GB2312" w:hAnsi="Times New Roman" w:hint="eastAsia"/>
          <w:sz w:val="32"/>
          <w:szCs w:val="32"/>
        </w:rPr>
        <w:t>0.1%</w:t>
      </w:r>
      <w:r>
        <w:rPr>
          <w:rFonts w:ascii="Times New Roman" w:eastAsia="仿宋_GB2312" w:hAnsi="Times New Roman" w:hint="eastAsia"/>
          <w:sz w:val="32"/>
          <w:szCs w:val="32"/>
        </w:rPr>
        <w:t>；源淮公司</w:t>
      </w:r>
      <w:r>
        <w:rPr>
          <w:rFonts w:ascii="Times New Roman" w:eastAsia="仿宋_GB2312" w:hAnsi="Times New Roman" w:hint="eastAsia"/>
          <w:sz w:val="32"/>
          <w:szCs w:val="32"/>
        </w:rPr>
        <w:t>99.9%</w:t>
      </w:r>
      <w:r>
        <w:rPr>
          <w:rFonts w:ascii="Times New Roman" w:eastAsia="仿宋_GB2312" w:hAnsi="Times New Roman" w:hint="eastAsia"/>
          <w:sz w:val="32"/>
          <w:szCs w:val="32"/>
        </w:rPr>
        <w:t>（后期源淮公司可以依据具体情况将认缴的份额转让给其他社会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资本）。</w:t>
      </w:r>
    </w:p>
    <w:p w:rsidR="006A3F65" w:rsidRDefault="006A3F65" w:rsidP="006A3F65">
      <w:pPr>
        <w:spacing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合伙期限：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年（投资期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年、退出期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年、延长期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年）</w:t>
      </w:r>
      <w:r w:rsidR="00124B09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A3F65" w:rsidRDefault="006A3F65" w:rsidP="006A3F65">
      <w:pPr>
        <w:spacing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投资方向：</w:t>
      </w:r>
      <w:r>
        <w:rPr>
          <w:rFonts w:ascii="Times New Roman" w:eastAsia="仿宋_GB2312" w:hAnsi="Times New Roman"/>
          <w:sz w:val="32"/>
          <w:szCs w:val="32"/>
        </w:rPr>
        <w:t>四维智联（南京）科技股份有限公司</w:t>
      </w:r>
      <w:r>
        <w:rPr>
          <w:rFonts w:ascii="Times New Roman" w:eastAsia="仿宋_GB2312" w:hAnsi="Times New Roman" w:hint="eastAsia"/>
          <w:sz w:val="32"/>
          <w:szCs w:val="32"/>
        </w:rPr>
        <w:t>（智能</w:t>
      </w:r>
      <w:r>
        <w:rPr>
          <w:rFonts w:ascii="Times New Roman" w:eastAsia="仿宋_GB2312" w:hAnsi="Times New Roman"/>
          <w:sz w:val="32"/>
          <w:szCs w:val="32"/>
        </w:rPr>
        <w:t>座舱</w:t>
      </w:r>
      <w:r>
        <w:rPr>
          <w:rFonts w:ascii="Times New Roman" w:eastAsia="仿宋_GB2312" w:hAnsi="Times New Roman" w:hint="eastAsia"/>
          <w:sz w:val="32"/>
          <w:szCs w:val="32"/>
        </w:rPr>
        <w:t>一体化生产基地</w:t>
      </w:r>
      <w:r>
        <w:rPr>
          <w:rFonts w:ascii="Times New Roman" w:eastAsia="仿宋_GB2312" w:hAnsi="Times New Roman"/>
          <w:sz w:val="32"/>
          <w:szCs w:val="32"/>
        </w:rPr>
        <w:t>项目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124B09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A3F65" w:rsidRDefault="006A3F65" w:rsidP="006A3F65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管理费要求：投资期按实缴出资额</w:t>
      </w:r>
      <w:r>
        <w:rPr>
          <w:rFonts w:ascii="Times New Roman" w:eastAsia="仿宋_GB2312" w:hAnsi="Times New Roman" w:hint="eastAsia"/>
          <w:sz w:val="32"/>
          <w:szCs w:val="32"/>
        </w:rPr>
        <w:t>1%/</w:t>
      </w:r>
      <w:r>
        <w:rPr>
          <w:rFonts w:ascii="Times New Roman" w:eastAsia="仿宋_GB2312" w:hAnsi="Times New Roman" w:hint="eastAsia"/>
          <w:sz w:val="32"/>
          <w:szCs w:val="32"/>
        </w:rPr>
        <w:t>年，退出期按未退出原始出资额</w:t>
      </w:r>
      <w:r>
        <w:rPr>
          <w:rFonts w:ascii="Times New Roman" w:eastAsia="仿宋_GB2312" w:hAnsi="Times New Roman" w:hint="eastAsia"/>
          <w:sz w:val="32"/>
          <w:szCs w:val="32"/>
        </w:rPr>
        <w:t>0.5%/</w:t>
      </w:r>
      <w:r>
        <w:rPr>
          <w:rFonts w:ascii="Times New Roman" w:eastAsia="仿宋_GB2312" w:hAnsi="Times New Roman" w:hint="eastAsia"/>
          <w:sz w:val="32"/>
          <w:szCs w:val="32"/>
        </w:rPr>
        <w:t>年，</w:t>
      </w:r>
      <w:r w:rsidRPr="008B46E9">
        <w:rPr>
          <w:rFonts w:ascii="Times New Roman" w:eastAsia="仿宋_GB2312" w:hAnsi="Times New Roman" w:hint="eastAsia"/>
          <w:sz w:val="32"/>
          <w:szCs w:val="32"/>
        </w:rPr>
        <w:t>延长期及清算期免收。</w:t>
      </w:r>
    </w:p>
    <w:p w:rsidR="006A3F65" w:rsidRPr="00DE61BD" w:rsidRDefault="006A3F65" w:rsidP="006A3F65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DE61BD">
        <w:rPr>
          <w:rFonts w:ascii="Times New Roman" w:eastAsia="仿宋_GB2312" w:hAnsi="Times New Roman" w:hint="eastAsia"/>
          <w:b/>
          <w:sz w:val="32"/>
          <w:szCs w:val="32"/>
        </w:rPr>
        <w:t>（二）产业基金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基金规模：</w:t>
      </w:r>
      <w:r>
        <w:rPr>
          <w:rFonts w:ascii="Times New Roman" w:eastAsia="仿宋_GB2312" w:hAnsi="Times New Roman"/>
          <w:sz w:val="32"/>
          <w:szCs w:val="32"/>
        </w:rPr>
        <w:t>规模合计</w:t>
      </w:r>
      <w:r>
        <w:rPr>
          <w:rFonts w:ascii="Times New Roman" w:eastAsia="仿宋_GB2312" w:hAnsi="Times New Roman"/>
          <w:sz w:val="32"/>
          <w:szCs w:val="32"/>
        </w:rPr>
        <w:t>35</w:t>
      </w:r>
      <w:r>
        <w:rPr>
          <w:rFonts w:ascii="Times New Roman" w:eastAsia="仿宋_GB2312" w:hAnsi="Times New Roman"/>
          <w:sz w:val="32"/>
          <w:szCs w:val="32"/>
        </w:rPr>
        <w:t>亿元（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支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亿元、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支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亿元）。</w:t>
      </w:r>
    </w:p>
    <w:p w:rsidR="006A3F65" w:rsidRPr="00520FF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color w:val="FF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出资比例：具体出资比例根据基金行业和每支基金的具体情况进行确定，</w:t>
      </w:r>
      <w:r w:rsidRPr="00C230CE">
        <w:rPr>
          <w:rFonts w:ascii="Times New Roman" w:eastAsia="仿宋_GB2312" w:hAnsi="Times New Roman" w:hint="eastAsia"/>
          <w:sz w:val="32"/>
          <w:szCs w:val="32"/>
        </w:rPr>
        <w:t>单笔投资限额不超过基金规模的</w:t>
      </w:r>
      <w:r w:rsidRPr="00C230CE">
        <w:rPr>
          <w:rFonts w:ascii="Times New Roman" w:eastAsia="仿宋_GB2312" w:hAnsi="Times New Roman" w:hint="eastAsia"/>
          <w:sz w:val="32"/>
          <w:szCs w:val="32"/>
        </w:rPr>
        <w:t>20%</w:t>
      </w:r>
      <w:r w:rsidRPr="00C230C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合伙期限：基金</w:t>
      </w:r>
      <w:r>
        <w:rPr>
          <w:rFonts w:ascii="Times New Roman" w:eastAsia="仿宋_GB2312" w:hAnsi="Times New Roman"/>
          <w:sz w:val="32"/>
          <w:szCs w:val="32"/>
        </w:rPr>
        <w:t>存续期限为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年，其中投资期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年，退出期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，必要时可延长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年。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投资方向：</w:t>
      </w:r>
      <w:r>
        <w:rPr>
          <w:rFonts w:ascii="Times New Roman" w:eastAsia="仿宋_GB2312" w:hAnsi="Times New Roman"/>
          <w:sz w:val="32"/>
          <w:szCs w:val="32"/>
        </w:rPr>
        <w:t>主要投资于</w:t>
      </w:r>
      <w:r>
        <w:rPr>
          <w:rFonts w:ascii="Times New Roman" w:eastAsia="仿宋_GB2312" w:hAnsi="Times New Roman" w:hint="eastAsia"/>
          <w:sz w:val="32"/>
          <w:szCs w:val="32"/>
        </w:rPr>
        <w:t>电子信息、新能源汽车零部件、新材料、装备制造（电力设备）等符合新质生产力及淮北市烈山区产业定位方向的产业。</w:t>
      </w:r>
    </w:p>
    <w:p w:rsidR="006A3F65" w:rsidRPr="00BD3519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管理费要求：</w:t>
      </w:r>
      <w:r w:rsidRPr="00BD3519">
        <w:rPr>
          <w:rFonts w:ascii="Times New Roman" w:eastAsia="仿宋_GB2312" w:hAnsi="Times New Roman"/>
          <w:sz w:val="32"/>
          <w:szCs w:val="32"/>
        </w:rPr>
        <w:t>投资期的管理费</w:t>
      </w:r>
      <w:r w:rsidRPr="00BD3519">
        <w:rPr>
          <w:rFonts w:ascii="Times New Roman" w:eastAsia="仿宋_GB2312" w:hAnsi="Times New Roman" w:hint="eastAsia"/>
          <w:sz w:val="32"/>
          <w:szCs w:val="32"/>
        </w:rPr>
        <w:t>按</w:t>
      </w:r>
      <w:r w:rsidRPr="00BD3519">
        <w:rPr>
          <w:rFonts w:ascii="Times New Roman" w:eastAsia="仿宋_GB2312" w:hAnsi="Times New Roman"/>
          <w:sz w:val="32"/>
          <w:szCs w:val="32"/>
        </w:rPr>
        <w:t>不超过</w:t>
      </w:r>
      <w:r w:rsidRPr="00BD3519">
        <w:rPr>
          <w:rFonts w:ascii="Times New Roman" w:eastAsia="仿宋_GB2312" w:hAnsi="Times New Roman" w:hint="eastAsia"/>
          <w:sz w:val="32"/>
          <w:szCs w:val="32"/>
        </w:rPr>
        <w:t>基金</w:t>
      </w:r>
      <w:r w:rsidRPr="00BD3519">
        <w:rPr>
          <w:rFonts w:ascii="Times New Roman" w:eastAsia="仿宋_GB2312" w:hAnsi="Times New Roman"/>
          <w:sz w:val="32"/>
          <w:szCs w:val="32"/>
        </w:rPr>
        <w:t>实缴出资额的</w:t>
      </w:r>
      <w:r w:rsidRPr="00BD3519">
        <w:rPr>
          <w:rFonts w:ascii="Times New Roman" w:eastAsia="仿宋_GB2312" w:hAnsi="Times New Roman"/>
          <w:sz w:val="32"/>
          <w:szCs w:val="32"/>
        </w:rPr>
        <w:t>1.5%/</w:t>
      </w:r>
      <w:r w:rsidRPr="00BD3519">
        <w:rPr>
          <w:rFonts w:ascii="Times New Roman" w:eastAsia="仿宋_GB2312" w:hAnsi="Times New Roman"/>
          <w:sz w:val="32"/>
          <w:szCs w:val="32"/>
        </w:rPr>
        <w:t>年收取，退出期的管理费按不超过基金未退出原始出资额的</w:t>
      </w:r>
      <w:r w:rsidRPr="00BD3519">
        <w:rPr>
          <w:rFonts w:ascii="Times New Roman" w:eastAsia="仿宋_GB2312" w:hAnsi="Times New Roman"/>
          <w:sz w:val="32"/>
          <w:szCs w:val="32"/>
        </w:rPr>
        <w:t>1.0%/</w:t>
      </w:r>
      <w:r w:rsidRPr="00BD3519">
        <w:rPr>
          <w:rFonts w:ascii="Times New Roman" w:eastAsia="仿宋_GB2312" w:hAnsi="Times New Roman"/>
          <w:sz w:val="32"/>
          <w:szCs w:val="32"/>
        </w:rPr>
        <w:t>年收取，延长期、清算期不收取管理费。</w:t>
      </w:r>
    </w:p>
    <w:p w:rsidR="006A3F65" w:rsidRDefault="006A3F65" w:rsidP="006A3F65">
      <w:pPr>
        <w:wordWrap w:val="0"/>
        <w:spacing w:line="580" w:lineRule="exact"/>
        <w:ind w:leftChars="152" w:left="319"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/>
          <w:sz w:val="32"/>
          <w:szCs w:val="32"/>
        </w:rPr>
        <w:t>、遴选条件</w:t>
      </w:r>
    </w:p>
    <w:p w:rsidR="006A3F65" w:rsidRDefault="006A3F65" w:rsidP="006A3F65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（一）管理团队及运营资质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在中国大陆依法设立的公司或合伙企业，</w:t>
      </w:r>
      <w:r>
        <w:rPr>
          <w:rFonts w:ascii="Times New Roman" w:eastAsia="仿宋_GB2312" w:hAnsi="Times New Roman" w:hint="eastAsia"/>
          <w:sz w:val="32"/>
          <w:szCs w:val="32"/>
        </w:rPr>
        <w:t>且在中国证券投资基金业协会登记备案，具备基金管理人资格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2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基金管理人及其董事、监事、高级管理人员及其他从业人员在最近三年无重大违法行为。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有符合要求的营业场所、安全防范设施和与基金管理业务有关的其他设施。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有良好的内部治理结构和风险控制制度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按照国家企业财务、会计制度规定，有健全的内部财务管理制度和会计核算办法，具有国家规定的私募基金管理人资质，管理团队稳定，具有良好的职业操守和信誉。</w:t>
      </w:r>
    </w:p>
    <w:p w:rsidR="006A3F65" w:rsidRDefault="006A3F65" w:rsidP="006A3F65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（二）管理机制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管理团队具备健全的投资管理和风险</w:t>
      </w:r>
      <w:r>
        <w:rPr>
          <w:rFonts w:ascii="Times New Roman" w:eastAsia="仿宋_GB2312" w:hAnsi="Times New Roman" w:hint="eastAsia"/>
          <w:sz w:val="32"/>
          <w:szCs w:val="32"/>
        </w:rPr>
        <w:t>防控</w:t>
      </w:r>
      <w:r>
        <w:rPr>
          <w:rFonts w:ascii="Times New Roman" w:eastAsia="仿宋_GB2312" w:hAnsi="Times New Roman"/>
          <w:sz w:val="32"/>
          <w:szCs w:val="32"/>
        </w:rPr>
        <w:t>流程，规范的项目遴选机制和独立的内部决策机制，完备的投资管理制度和完整的投资档案体系，能够为被投资企业提供创业辅导、管理咨询等增值服务。</w:t>
      </w:r>
    </w:p>
    <w:p w:rsidR="006A3F65" w:rsidRDefault="006A3F65" w:rsidP="006A3F65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（三）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返投金额及比例要求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返投金额指本基金投资额及其他资本投资额。基金存续期内，总体返投烈山落地项目的金额应不低于源淮公司总体基金出资额。</w:t>
      </w:r>
    </w:p>
    <w:p w:rsidR="006A3F65" w:rsidRDefault="006A3F65" w:rsidP="006A3F65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四</w:t>
      </w:r>
      <w:r>
        <w:rPr>
          <w:rFonts w:ascii="Times New Roman" w:eastAsia="楷体_GB2312" w:hAnsi="Times New Roman"/>
          <w:b/>
          <w:bCs/>
          <w:sz w:val="32"/>
          <w:szCs w:val="32"/>
        </w:rPr>
        <w:t>）管理费要求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合伙企业的管理人负责合伙企业及投资业务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运营、</w:t>
      </w:r>
      <w:r>
        <w:rPr>
          <w:rFonts w:ascii="Times New Roman" w:eastAsia="仿宋_GB2312" w:hAnsi="Times New Roman" w:hint="eastAsia"/>
          <w:sz w:val="32"/>
          <w:szCs w:val="32"/>
        </w:rPr>
        <w:t>管理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决策等</w:t>
      </w:r>
      <w:r>
        <w:rPr>
          <w:rFonts w:ascii="Times New Roman" w:eastAsia="仿宋_GB2312" w:hAnsi="Times New Roman"/>
          <w:sz w:val="32"/>
          <w:szCs w:val="32"/>
        </w:rPr>
        <w:t>职权</w:t>
      </w:r>
      <w:r>
        <w:rPr>
          <w:rFonts w:ascii="Times New Roman" w:eastAsia="仿宋_GB2312" w:hAnsi="Times New Roman" w:hint="eastAsia"/>
          <w:sz w:val="32"/>
          <w:szCs w:val="32"/>
        </w:rPr>
        <w:t>（具体以签订的合伙协议为准）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A3F65" w:rsidRPr="008B46E9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color w:val="FF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基金管理人对管理费的提取，以基金合伙协议、公司章程中载明的管理费率及付款期限为标准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A3F65" w:rsidRDefault="006A3F65" w:rsidP="006A3F65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五</w:t>
      </w:r>
      <w:r>
        <w:rPr>
          <w:rFonts w:ascii="Times New Roman" w:eastAsia="楷体_GB2312" w:hAnsi="Times New Roman"/>
          <w:b/>
          <w:bCs/>
          <w:sz w:val="32"/>
          <w:szCs w:val="32"/>
        </w:rPr>
        <w:t>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本金及收益</w:t>
      </w:r>
      <w:r>
        <w:rPr>
          <w:rFonts w:ascii="Times New Roman" w:eastAsia="楷体_GB2312" w:hAnsi="Times New Roman"/>
          <w:b/>
          <w:bCs/>
          <w:sz w:val="32"/>
          <w:szCs w:val="32"/>
        </w:rPr>
        <w:t>分配顺序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按照实缴出资比例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 w:hint="eastAsia"/>
          <w:sz w:val="32"/>
          <w:szCs w:val="32"/>
        </w:rPr>
        <w:t>有限</w:t>
      </w:r>
      <w:r>
        <w:rPr>
          <w:rFonts w:ascii="Times New Roman" w:eastAsia="仿宋_GB2312" w:hAnsi="Times New Roman"/>
          <w:sz w:val="32"/>
          <w:szCs w:val="32"/>
        </w:rPr>
        <w:t>合伙人</w:t>
      </w:r>
      <w:r>
        <w:rPr>
          <w:rFonts w:ascii="Times New Roman" w:eastAsia="仿宋_GB2312" w:hAnsi="Times New Roman" w:hint="eastAsia"/>
          <w:sz w:val="32"/>
          <w:szCs w:val="32"/>
        </w:rPr>
        <w:t>、普通合伙人</w:t>
      </w:r>
      <w:r>
        <w:rPr>
          <w:rFonts w:ascii="Times New Roman" w:eastAsia="仿宋_GB2312" w:hAnsi="Times New Roman"/>
          <w:sz w:val="32"/>
          <w:szCs w:val="32"/>
        </w:rPr>
        <w:t>分配本</w:t>
      </w:r>
      <w:r>
        <w:rPr>
          <w:rFonts w:ascii="Times New Roman" w:eastAsia="仿宋_GB2312" w:hAnsi="Times New Roman"/>
          <w:sz w:val="32"/>
          <w:szCs w:val="32"/>
        </w:rPr>
        <w:lastRenderedPageBreak/>
        <w:t>金</w:t>
      </w:r>
      <w:r>
        <w:rPr>
          <w:rFonts w:ascii="Times New Roman" w:eastAsia="仿宋_GB2312" w:hAnsi="Times New Roman"/>
          <w:sz w:val="32"/>
          <w:szCs w:val="32"/>
        </w:rPr>
        <w:t>;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向有限合伙人分配</w:t>
      </w:r>
      <w:r>
        <w:rPr>
          <w:rFonts w:ascii="Times New Roman" w:eastAsia="仿宋_GB2312" w:hAnsi="Times New Roman"/>
          <w:sz w:val="32"/>
          <w:szCs w:val="32"/>
        </w:rPr>
        <w:t>6%</w:t>
      </w:r>
      <w:r>
        <w:rPr>
          <w:rFonts w:ascii="Times New Roman" w:eastAsia="仿宋_GB2312" w:hAnsi="Times New Roman"/>
          <w:sz w:val="32"/>
          <w:szCs w:val="32"/>
        </w:rPr>
        <w:t>的门槛收益</w:t>
      </w:r>
      <w:r>
        <w:rPr>
          <w:rFonts w:ascii="Times New Roman" w:eastAsia="仿宋_GB2312" w:hAnsi="Times New Roman"/>
          <w:sz w:val="32"/>
          <w:szCs w:val="32"/>
        </w:rPr>
        <w:t>;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向普通合伙人分配</w:t>
      </w:r>
      <w:r>
        <w:rPr>
          <w:rFonts w:ascii="Times New Roman" w:eastAsia="仿宋_GB2312" w:hAnsi="Times New Roman"/>
          <w:sz w:val="32"/>
          <w:szCs w:val="32"/>
        </w:rPr>
        <w:t>6%</w:t>
      </w:r>
      <w:r>
        <w:rPr>
          <w:rFonts w:ascii="Times New Roman" w:eastAsia="仿宋_GB2312" w:hAnsi="Times New Roman"/>
          <w:sz w:val="32"/>
          <w:szCs w:val="32"/>
        </w:rPr>
        <w:t>的门槛收益</w:t>
      </w:r>
      <w:r>
        <w:rPr>
          <w:rFonts w:ascii="Times New Roman" w:eastAsia="仿宋_GB2312" w:hAnsi="Times New Roman"/>
          <w:sz w:val="32"/>
          <w:szCs w:val="32"/>
        </w:rPr>
        <w:t>;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基金存续期内，返投烈山的所有项目</w:t>
      </w:r>
      <w:r>
        <w:rPr>
          <w:rFonts w:ascii="Times New Roman" w:eastAsia="仿宋_GB2312" w:hAnsi="Times New Roman"/>
          <w:sz w:val="32"/>
          <w:szCs w:val="32"/>
        </w:rPr>
        <w:t>剩余超额收益</w:t>
      </w:r>
      <w:r>
        <w:rPr>
          <w:rFonts w:ascii="Times New Roman" w:eastAsia="仿宋_GB2312" w:hAnsi="Times New Roman" w:hint="eastAsia"/>
          <w:sz w:val="32"/>
          <w:szCs w:val="32"/>
        </w:rPr>
        <w:t>分配标准：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100%</w:t>
      </w:r>
      <w:r>
        <w:rPr>
          <w:rFonts w:ascii="Times New Roman" w:eastAsia="仿宋_GB2312" w:hAnsi="Times New Roman" w:hint="eastAsia"/>
          <w:sz w:val="32"/>
          <w:szCs w:val="32"/>
        </w:rPr>
        <w:t>≤返投比例</w:t>
      </w:r>
      <w:r>
        <w:rPr>
          <w:rFonts w:ascii="Times New Roman" w:eastAsia="仿宋_GB2312" w:hAnsi="Times New Roman" w:hint="eastAsia"/>
          <w:sz w:val="32"/>
          <w:szCs w:val="32"/>
        </w:rPr>
        <w:t>&lt;130%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剩余超额收益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20%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 w:hint="eastAsia"/>
          <w:sz w:val="32"/>
          <w:szCs w:val="32"/>
        </w:rPr>
        <w:t>普通合伙人（基金</w:t>
      </w:r>
      <w:r>
        <w:rPr>
          <w:rFonts w:ascii="Times New Roman" w:eastAsia="仿宋_GB2312" w:hAnsi="Times New Roman"/>
          <w:sz w:val="32"/>
          <w:szCs w:val="32"/>
        </w:rPr>
        <w:t>管理人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分配，</w:t>
      </w:r>
      <w:r>
        <w:rPr>
          <w:rFonts w:ascii="Times New Roman" w:eastAsia="仿宋_GB2312" w:hAnsi="Times New Roman"/>
          <w:sz w:val="32"/>
          <w:szCs w:val="32"/>
        </w:rPr>
        <w:t>80%</w:t>
      </w:r>
      <w:r>
        <w:rPr>
          <w:rFonts w:ascii="Times New Roman" w:eastAsia="仿宋_GB2312" w:hAnsi="Times New Roman" w:hint="eastAsia"/>
          <w:sz w:val="32"/>
          <w:szCs w:val="32"/>
        </w:rPr>
        <w:t>向有限合伙人分配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130%</w:t>
      </w:r>
      <w:r>
        <w:rPr>
          <w:rFonts w:ascii="Times New Roman" w:eastAsia="仿宋_GB2312" w:hAnsi="Times New Roman" w:hint="eastAsia"/>
          <w:sz w:val="32"/>
          <w:szCs w:val="32"/>
        </w:rPr>
        <w:t>≤返投比例</w:t>
      </w:r>
      <w:r>
        <w:rPr>
          <w:rFonts w:ascii="Times New Roman" w:eastAsia="仿宋_GB2312" w:hAnsi="Times New Roman" w:hint="eastAsia"/>
          <w:sz w:val="32"/>
          <w:szCs w:val="32"/>
        </w:rPr>
        <w:t>&lt;140%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剩余超额收益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 w:hint="eastAsia"/>
          <w:sz w:val="32"/>
          <w:szCs w:val="32"/>
        </w:rPr>
        <w:t>普通合伙人（基金</w:t>
      </w:r>
      <w:r>
        <w:rPr>
          <w:rFonts w:ascii="Times New Roman" w:eastAsia="仿宋_GB2312" w:hAnsi="Times New Roman"/>
          <w:sz w:val="32"/>
          <w:szCs w:val="32"/>
        </w:rPr>
        <w:t>管理人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分配，</w:t>
      </w:r>
      <w:r>
        <w:rPr>
          <w:rFonts w:ascii="Times New Roman" w:eastAsia="仿宋_GB2312" w:hAnsi="Times New Roman" w:hint="eastAsia"/>
          <w:sz w:val="32"/>
          <w:szCs w:val="32"/>
        </w:rPr>
        <w:t>70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向有限合伙人分配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140%</w:t>
      </w:r>
      <w:r>
        <w:rPr>
          <w:rFonts w:ascii="Times New Roman" w:eastAsia="仿宋_GB2312" w:hAnsi="Times New Roman" w:hint="eastAsia"/>
          <w:sz w:val="32"/>
          <w:szCs w:val="32"/>
        </w:rPr>
        <w:t>≤返投比例为</w:t>
      </w:r>
      <w:r>
        <w:rPr>
          <w:rFonts w:ascii="Times New Roman" w:eastAsia="仿宋_GB2312" w:hAnsi="Times New Roman" w:hint="eastAsia"/>
          <w:sz w:val="32"/>
          <w:szCs w:val="32"/>
        </w:rPr>
        <w:t>&lt;150%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剩余超额收益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 w:hint="eastAsia"/>
          <w:sz w:val="32"/>
          <w:szCs w:val="32"/>
        </w:rPr>
        <w:t>普通合伙人（基金</w:t>
      </w:r>
      <w:r>
        <w:rPr>
          <w:rFonts w:ascii="Times New Roman" w:eastAsia="仿宋_GB2312" w:hAnsi="Times New Roman"/>
          <w:sz w:val="32"/>
          <w:szCs w:val="32"/>
        </w:rPr>
        <w:t>管理人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分配，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 w:hint="eastAsia"/>
          <w:sz w:val="32"/>
          <w:szCs w:val="32"/>
        </w:rPr>
        <w:t>向有限合伙人分配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150%</w:t>
      </w:r>
      <w:r>
        <w:rPr>
          <w:rFonts w:ascii="Times New Roman" w:eastAsia="仿宋_GB2312" w:hAnsi="Times New Roman" w:hint="eastAsia"/>
          <w:sz w:val="32"/>
          <w:szCs w:val="32"/>
        </w:rPr>
        <w:t>≤返投比例，</w:t>
      </w:r>
      <w:r>
        <w:rPr>
          <w:rFonts w:ascii="Times New Roman" w:eastAsia="仿宋_GB2312" w:hAnsi="Times New Roman"/>
          <w:sz w:val="32"/>
          <w:szCs w:val="32"/>
        </w:rPr>
        <w:t>剩余超额收益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 w:hint="eastAsia"/>
          <w:sz w:val="32"/>
          <w:szCs w:val="32"/>
        </w:rPr>
        <w:t>普通合伙人（基金</w:t>
      </w:r>
      <w:r>
        <w:rPr>
          <w:rFonts w:ascii="Times New Roman" w:eastAsia="仿宋_GB2312" w:hAnsi="Times New Roman"/>
          <w:sz w:val="32"/>
          <w:szCs w:val="32"/>
        </w:rPr>
        <w:t>管理人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分配，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 w:hint="eastAsia"/>
          <w:sz w:val="32"/>
          <w:szCs w:val="32"/>
        </w:rPr>
        <w:t>向有限合伙人分配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以上返投比例按照上述“</w:t>
      </w:r>
      <w:r>
        <w:rPr>
          <w:rFonts w:ascii="Times New Roman" w:eastAsia="仿宋_GB2312" w:hAnsi="Times New Roman"/>
          <w:sz w:val="32"/>
          <w:szCs w:val="32"/>
        </w:rPr>
        <w:t>（三）</w:t>
      </w:r>
      <w:r>
        <w:rPr>
          <w:rFonts w:ascii="Times New Roman" w:eastAsia="仿宋_GB2312" w:hAnsi="Times New Roman" w:hint="eastAsia"/>
          <w:sz w:val="32"/>
          <w:szCs w:val="32"/>
        </w:rPr>
        <w:t>返投金额及比例要求”解释。</w:t>
      </w:r>
    </w:p>
    <w:p w:rsidR="006A3F65" w:rsidRDefault="006A3F65" w:rsidP="006A3F65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六</w:t>
      </w:r>
      <w:r>
        <w:rPr>
          <w:rFonts w:ascii="Times New Roman" w:eastAsia="楷体_GB2312" w:hAnsi="Times New Roman"/>
          <w:b/>
          <w:bCs/>
          <w:sz w:val="32"/>
          <w:szCs w:val="32"/>
        </w:rPr>
        <w:t>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投资时效要求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 xml:space="preserve">   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出现以下情况，</w:t>
      </w:r>
      <w:r>
        <w:rPr>
          <w:rFonts w:ascii="Times New Roman" w:eastAsia="仿宋_GB2312" w:hAnsi="Times New Roman" w:hint="eastAsia"/>
          <w:sz w:val="32"/>
          <w:szCs w:val="32"/>
        </w:rPr>
        <w:t>源淮公司有权</w:t>
      </w:r>
      <w:r>
        <w:rPr>
          <w:rFonts w:ascii="Times New Roman" w:eastAsia="仿宋_GB2312" w:hAnsi="Times New Roman"/>
          <w:sz w:val="32"/>
          <w:szCs w:val="32"/>
        </w:rPr>
        <w:t>选择退出：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合伙协议签署满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个月，基金管理人未按规定程序和时间要求完成设立备案等相关手续的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自</w:t>
      </w:r>
      <w:r>
        <w:rPr>
          <w:rFonts w:ascii="Times New Roman" w:eastAsia="仿宋_GB2312" w:hAnsi="Times New Roman"/>
          <w:sz w:val="32"/>
          <w:szCs w:val="32"/>
        </w:rPr>
        <w:t>投资基金拨付基金账户</w:t>
      </w:r>
      <w:r>
        <w:rPr>
          <w:rFonts w:ascii="Times New Roman" w:eastAsia="仿宋_GB2312" w:hAnsi="Times New Roman" w:hint="eastAsia"/>
          <w:sz w:val="32"/>
          <w:szCs w:val="32"/>
        </w:rPr>
        <w:t>之日起</w:t>
      </w:r>
      <w:r>
        <w:rPr>
          <w:rFonts w:ascii="Times New Roman" w:eastAsia="仿宋_GB2312" w:hAnsi="Times New Roman"/>
          <w:sz w:val="32"/>
          <w:szCs w:val="32"/>
        </w:rPr>
        <w:t>满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个月，基金未开展投资业务的；</w:t>
      </w:r>
    </w:p>
    <w:p w:rsidR="006A3F65" w:rsidRDefault="006A3F65" w:rsidP="006A3F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其他不符合行业法规及约定情形的。</w:t>
      </w:r>
    </w:p>
    <w:p w:rsidR="00271B86" w:rsidRPr="006A3F65" w:rsidRDefault="006A3F65" w:rsidP="006A3F65">
      <w:pPr>
        <w:wordWrap w:val="0"/>
        <w:spacing w:line="580" w:lineRule="exact"/>
        <w:ind w:leftChars="152" w:left="319"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 w:rsidRPr="006A3F65">
        <w:rPr>
          <w:rFonts w:ascii="黑体" w:eastAsia="黑体" w:hAnsi="黑体" w:cs="黑体" w:hint="eastAsia"/>
          <w:sz w:val="32"/>
          <w:szCs w:val="32"/>
        </w:rPr>
        <w:t>五、</w:t>
      </w:r>
      <w:r w:rsidR="00271B86" w:rsidRPr="006A3F65">
        <w:rPr>
          <w:rFonts w:ascii="黑体" w:eastAsia="黑体" w:hAnsi="黑体" w:cs="黑体"/>
          <w:sz w:val="32"/>
          <w:szCs w:val="32"/>
        </w:rPr>
        <w:t>遴选程序</w:t>
      </w:r>
    </w:p>
    <w:p w:rsidR="00271B86" w:rsidRDefault="00271B86" w:rsidP="00271B86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1.</w:t>
      </w:r>
      <w:r>
        <w:rPr>
          <w:rFonts w:ascii="Times New Roman" w:eastAsia="楷体_GB2312" w:hAnsi="Times New Roman"/>
          <w:b/>
          <w:bCs/>
          <w:sz w:val="32"/>
          <w:szCs w:val="32"/>
        </w:rPr>
        <w:t>发布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遴选公告</w:t>
      </w:r>
    </w:p>
    <w:p w:rsidR="00271B86" w:rsidRDefault="00271B86" w:rsidP="00271B86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lastRenderedPageBreak/>
        <w:t>2.</w:t>
      </w:r>
      <w:r>
        <w:rPr>
          <w:rFonts w:ascii="Times New Roman" w:eastAsia="楷体_GB2312" w:hAnsi="Times New Roman"/>
          <w:b/>
          <w:bCs/>
          <w:sz w:val="32"/>
          <w:szCs w:val="32"/>
        </w:rPr>
        <w:t>材料报送</w:t>
      </w:r>
    </w:p>
    <w:p w:rsidR="00271B86" w:rsidRDefault="00271B86" w:rsidP="00271B86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3.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开展评审</w:t>
      </w:r>
    </w:p>
    <w:p w:rsidR="00271B86" w:rsidRDefault="00271B86" w:rsidP="00271B8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评审工作按照“资格预审→评分评审→尽职调查→综合评定”四步依次推进。</w:t>
      </w:r>
    </w:p>
    <w:p w:rsidR="00271B86" w:rsidRDefault="00271B86" w:rsidP="00271B86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4.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结果</w:t>
      </w:r>
      <w:r>
        <w:rPr>
          <w:rFonts w:ascii="Times New Roman" w:eastAsia="楷体_GB2312" w:hAnsi="Times New Roman"/>
          <w:b/>
          <w:bCs/>
          <w:sz w:val="32"/>
          <w:szCs w:val="32"/>
        </w:rPr>
        <w:t>公示</w:t>
      </w:r>
    </w:p>
    <w:p w:rsidR="00143AF3" w:rsidRDefault="00143AF3" w:rsidP="00271B86">
      <w:pPr>
        <w:spacing w:line="580" w:lineRule="exact"/>
        <w:ind w:firstLineChars="200" w:firstLine="420"/>
      </w:pPr>
    </w:p>
    <w:sectPr w:rsidR="00143AF3" w:rsidSect="00480334">
      <w:footerReference w:type="default" r:id="rId7"/>
      <w:pgSz w:w="11907" w:h="16840"/>
      <w:pgMar w:top="1440" w:right="1797" w:bottom="1440" w:left="1797" w:header="851" w:footer="992" w:gutter="0"/>
      <w:cols w:space="425"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024" w:rsidRDefault="002F2024" w:rsidP="006A3F65">
      <w:r>
        <w:separator/>
      </w:r>
    </w:p>
  </w:endnote>
  <w:endnote w:type="continuationSeparator" w:id="0">
    <w:p w:rsidR="002F2024" w:rsidRDefault="002F2024" w:rsidP="006A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5871118"/>
      <w:docPartObj>
        <w:docPartGallery w:val="Page Numbers (Bottom of Page)"/>
        <w:docPartUnique/>
      </w:docPartObj>
    </w:sdtPr>
    <w:sdtContent>
      <w:p w:rsidR="006A3F65" w:rsidRDefault="006A3F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F6C" w:rsidRPr="00A87F6C">
          <w:rPr>
            <w:noProof/>
            <w:lang w:val="zh-CN"/>
          </w:rPr>
          <w:t>5</w:t>
        </w:r>
        <w:r>
          <w:fldChar w:fldCharType="end"/>
        </w:r>
      </w:p>
    </w:sdtContent>
  </w:sdt>
  <w:p w:rsidR="006A3F65" w:rsidRDefault="006A3F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024" w:rsidRDefault="002F2024" w:rsidP="006A3F65">
      <w:r>
        <w:separator/>
      </w:r>
    </w:p>
  </w:footnote>
  <w:footnote w:type="continuationSeparator" w:id="0">
    <w:p w:rsidR="002F2024" w:rsidRDefault="002F2024" w:rsidP="006A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97634"/>
    <w:multiLevelType w:val="hybridMultilevel"/>
    <w:tmpl w:val="BE182F5E"/>
    <w:lvl w:ilvl="0" w:tplc="73C84B50">
      <w:start w:val="1"/>
      <w:numFmt w:val="japaneseCounting"/>
      <w:lvlText w:val="%1、"/>
      <w:lvlJc w:val="left"/>
      <w:pPr>
        <w:ind w:left="1429" w:hanging="720"/>
      </w:pPr>
      <w:rPr>
        <w:rFonts w:ascii="仿宋_GB2312" w:eastAsia="仿宋_GB2312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4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8B"/>
    <w:rsid w:val="00023C1F"/>
    <w:rsid w:val="000C564B"/>
    <w:rsid w:val="00124B09"/>
    <w:rsid w:val="00143AF3"/>
    <w:rsid w:val="00271B86"/>
    <w:rsid w:val="002F2024"/>
    <w:rsid w:val="003D5DF9"/>
    <w:rsid w:val="00480334"/>
    <w:rsid w:val="006A3F65"/>
    <w:rsid w:val="008D1F3E"/>
    <w:rsid w:val="00920BB0"/>
    <w:rsid w:val="009409CE"/>
    <w:rsid w:val="00A87F6C"/>
    <w:rsid w:val="00C36EC2"/>
    <w:rsid w:val="00D1271E"/>
    <w:rsid w:val="00E0464B"/>
    <w:rsid w:val="00E804AA"/>
    <w:rsid w:val="00ED518B"/>
    <w:rsid w:val="00F06EA0"/>
    <w:rsid w:val="00F86C91"/>
    <w:rsid w:val="00FA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B931"/>
  <w15:chartTrackingRefBased/>
  <w15:docId w15:val="{823E78C4-30EE-42AB-891A-1F3C8F70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F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3AF3"/>
    <w:pPr>
      <w:ind w:firstLineChars="200" w:firstLine="420"/>
    </w:pPr>
  </w:style>
  <w:style w:type="paragraph" w:styleId="a4">
    <w:name w:val="Body Text Indent"/>
    <w:basedOn w:val="a"/>
    <w:link w:val="a5"/>
    <w:uiPriority w:val="99"/>
    <w:semiHidden/>
    <w:unhideWhenUsed/>
    <w:rsid w:val="00143AF3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143AF3"/>
    <w:rPr>
      <w:rFonts w:ascii="Calibri" w:eastAsia="宋体" w:hAnsi="Calibri" w:cs="Times New Roman"/>
      <w:szCs w:val="21"/>
    </w:rPr>
  </w:style>
  <w:style w:type="paragraph" w:styleId="2">
    <w:name w:val="Body Text First Indent 2"/>
    <w:basedOn w:val="a4"/>
    <w:link w:val="20"/>
    <w:uiPriority w:val="99"/>
    <w:qFormat/>
    <w:rsid w:val="00143AF3"/>
    <w:pPr>
      <w:ind w:firstLineChars="200" w:firstLine="420"/>
    </w:pPr>
    <w:rPr>
      <w:rFonts w:ascii="仿宋_GB2312" w:eastAsia="仿宋_GB2312" w:hAnsi="微软雅黑" w:cs="华文中宋"/>
      <w:szCs w:val="20"/>
    </w:rPr>
  </w:style>
  <w:style w:type="character" w:customStyle="1" w:styleId="20">
    <w:name w:val="正文首行缩进 2 字符"/>
    <w:basedOn w:val="a5"/>
    <w:link w:val="2"/>
    <w:uiPriority w:val="99"/>
    <w:rsid w:val="00143AF3"/>
    <w:rPr>
      <w:rFonts w:ascii="仿宋_GB2312" w:eastAsia="仿宋_GB2312" w:hAnsi="微软雅黑" w:cs="华文中宋"/>
      <w:szCs w:val="20"/>
    </w:rPr>
  </w:style>
  <w:style w:type="paragraph" w:styleId="a6">
    <w:name w:val="header"/>
    <w:basedOn w:val="a"/>
    <w:link w:val="a7"/>
    <w:uiPriority w:val="99"/>
    <w:unhideWhenUsed/>
    <w:rsid w:val="006A3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3F65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A3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3F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2025-09-23T04:58:00Z</dcterms:created>
  <dcterms:modified xsi:type="dcterms:W3CDTF">2026-04-07T08:27:00Z</dcterms:modified>
</cp:coreProperties>
</file>